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92"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highlight w:val="none"/>
        </w:rPr>
        <w:t xml:space="preserve">                               R4-2219353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bookmarkEnd w:id="92"/>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8.13.1.3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w:t>
      </w:r>
      <w:r>
        <w:rPr>
          <w:rFonts w:hint="eastAsia" w:ascii="Arial" w:hAnsi="Arial" w:cs="Arial"/>
          <w:b/>
          <w:sz w:val="24"/>
          <w:szCs w:val="24"/>
          <w:highlight w:val="none"/>
          <w:lang w:val="en-US" w:eastAsia="zh-CN"/>
        </w:rPr>
        <w:t>d</w:t>
      </w:r>
      <w:r>
        <w:rPr>
          <w:rFonts w:hint="eastAsia" w:ascii="Arial" w:hAnsi="Arial" w:eastAsia="宋体" w:cs="Arial"/>
          <w:b/>
          <w:sz w:val="24"/>
          <w:szCs w:val="24"/>
          <w:highlight w:val="none"/>
          <w:lang w:val="en-US" w:eastAsia="zh-CN"/>
        </w:rPr>
        <w:t>iscussion on coexistence evaluation for ATG network</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xml:space="preserve">] on Air-to-ground network for NR was approved as one of Rel-18 RAN4 package. During the last RAN4 meeting, quite limited progress has been reached for ATG coexistence assumption, therefore in this contribution, we want to share further views on ATG coexistence study. </w:t>
      </w:r>
    </w:p>
    <w:p>
      <w:pPr>
        <w:widowControl w:val="0"/>
        <w:numPr>
          <w:ilvl w:val="0"/>
          <w:numId w:val="2"/>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2"/>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2"/>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2"/>
        </w:numPr>
        <w:overflowPunct/>
        <w:autoSpaceDE/>
        <w:autoSpaceDN/>
        <w:adjustRightInd/>
        <w:spacing w:after="0"/>
        <w:jc w:val="both"/>
        <w:textAlignment w:val="auto"/>
        <w:rPr>
          <w:kern w:val="2"/>
          <w:lang w:val="en-US" w:eastAsia="zh-CN"/>
        </w:rPr>
      </w:pPr>
      <w:r>
        <w:rPr>
          <w:kern w:val="2"/>
          <w:lang w:val="en-US" w:eastAsia="zh-CN"/>
        </w:rPr>
        <w:t>Specify RRM core requirements for ATG UE</w:t>
      </w:r>
      <w:r>
        <w:rPr>
          <w:strike/>
          <w:kern w:val="2"/>
          <w:lang w:val="en-US" w:eastAsia="zh-CN"/>
        </w:rPr>
        <w:t xml:space="preserve"> </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2"/>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2"/>
        </w:numPr>
        <w:overflowPunct/>
        <w:autoSpaceDE/>
        <w:autoSpaceDN/>
        <w:adjustRightInd/>
        <w:spacing w:after="0"/>
        <w:jc w:val="both"/>
        <w:textAlignment w:val="auto"/>
      </w:pPr>
      <w:r>
        <w:rPr>
          <w:kern w:val="2"/>
          <w:lang w:val="en-US" w:eastAsia="zh-CN"/>
        </w:rPr>
        <w:t>Specify new UE/BS type(s) for ATG network if necessary</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4"/>
      <w:bookmarkStart w:id="2" w:name="OLE_LINK20"/>
      <w:bookmarkStart w:id="3" w:name="OLE_LINK10"/>
      <w:bookmarkStart w:id="4" w:name="OLE_LINK13"/>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System parameters</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5" w:name="_Toc94170344"/>
      <w:bookmarkStart w:id="6" w:name="_Toc104210154"/>
      <w:bookmarkStart w:id="7" w:name="_Toc87889243"/>
      <w:bookmarkStart w:id="8" w:name="_Toc104122348"/>
      <w:bookmarkStart w:id="9" w:name="_Toc104502866"/>
      <w:r>
        <w:rPr>
          <w:rFonts w:cs="Arial"/>
          <w:b w:val="0"/>
          <w:bCs w:val="0"/>
        </w:rPr>
        <w:t>2.2.1</w:t>
      </w:r>
      <w:r>
        <w:rPr>
          <w:rFonts w:cs="Arial"/>
          <w:b w:val="0"/>
          <w:bCs w:val="0"/>
        </w:rPr>
        <w:tab/>
      </w:r>
      <w:r>
        <w:rPr>
          <w:rFonts w:hint="eastAsia" w:cs="Arial"/>
          <w:b w:val="0"/>
          <w:bCs w:val="0"/>
          <w:lang w:val="en-US" w:eastAsia="zh-CN"/>
        </w:rPr>
        <w:t xml:space="preserve">ATG </w:t>
      </w:r>
      <w:r>
        <w:rPr>
          <w:rFonts w:cs="Arial"/>
          <w:b w:val="0"/>
          <w:bCs w:val="0"/>
        </w:rPr>
        <w:t>parameters</w:t>
      </w:r>
      <w:bookmarkEnd w:id="5"/>
      <w:bookmarkEnd w:id="6"/>
      <w:bookmarkEnd w:id="7"/>
      <w:bookmarkEnd w:id="8"/>
      <w:bookmarkEnd w:id="9"/>
    </w:p>
    <w:p>
      <w:pPr>
        <w:spacing w:after="0"/>
        <w:jc w:val="left"/>
        <w:rPr>
          <w:rFonts w:hint="eastAsia" w:eastAsia="宋体"/>
          <w:sz w:val="22"/>
          <w:lang w:val="en-US" w:eastAsia="zh-CN"/>
        </w:rPr>
      </w:pPr>
      <w:r>
        <w:rPr>
          <w:rFonts w:hint="eastAsia" w:eastAsia="宋体"/>
          <w:sz w:val="22"/>
          <w:lang w:val="en-US" w:eastAsia="zh-CN"/>
        </w:rPr>
        <w:t>The general</w:t>
      </w:r>
      <w:r>
        <w:rPr>
          <w:rFonts w:hint="eastAsia" w:eastAsia="宋体"/>
          <w:sz w:val="22"/>
        </w:rPr>
        <w:t xml:space="preserve"> parameters</w:t>
      </w:r>
      <w:r>
        <w:rPr>
          <w:rFonts w:hint="eastAsia" w:eastAsia="宋体"/>
          <w:sz w:val="22"/>
          <w:lang w:val="en-US" w:eastAsia="zh-CN"/>
        </w:rPr>
        <w:t xml:space="preserve"> for ATG network coexistence study</w:t>
      </w:r>
      <w:r>
        <w:rPr>
          <w:rFonts w:hint="eastAsia" w:eastAsia="宋体"/>
          <w:sz w:val="22"/>
        </w:rPr>
        <w:t xml:space="preserve"> are </w:t>
      </w:r>
      <w:r>
        <w:rPr>
          <w:rFonts w:hint="eastAsia" w:eastAsia="宋体"/>
          <w:sz w:val="22"/>
          <w:lang w:val="en-US" w:eastAsia="zh-CN"/>
        </w:rPr>
        <w:t>listed in the following Table 2.2.1-1.</w:t>
      </w:r>
    </w:p>
    <w:p>
      <w:pPr>
        <w:autoSpaceDE/>
        <w:autoSpaceDN/>
        <w:adjustRightInd/>
        <w:snapToGrid/>
        <w:spacing w:before="0" w:beforeLines="-2147483648" w:after="0" w:afterLines="-2147483648" w:line="240" w:lineRule="auto"/>
        <w:jc w:val="center"/>
        <w:rPr>
          <w:rFonts w:hint="default"/>
          <w:b/>
          <w:bCs/>
          <w:sz w:val="20"/>
          <w:lang w:val="en-US" w:eastAsia="zh-CN"/>
        </w:rPr>
      </w:pPr>
      <w:bookmarkStart w:id="10" w:name="_Toc87889244"/>
      <w:r>
        <w:rPr>
          <w:rFonts w:hint="eastAsia"/>
          <w:b/>
          <w:bCs/>
          <w:sz w:val="20"/>
          <w:lang w:val="zh-CN" w:eastAsia="zh-CN"/>
        </w:rPr>
        <w:t xml:space="preserve">Table </w:t>
      </w:r>
      <w:r>
        <w:rPr>
          <w:rFonts w:hint="eastAsia"/>
          <w:b/>
          <w:bCs/>
          <w:sz w:val="20"/>
          <w:lang w:val="en-US" w:eastAsia="zh-CN"/>
        </w:rPr>
        <w:t>2.2.1</w:t>
      </w:r>
      <w:r>
        <w:rPr>
          <w:rFonts w:hint="eastAsia"/>
          <w:b/>
          <w:bCs/>
          <w:sz w:val="20"/>
          <w:lang w:val="zh-CN" w:eastAsia="zh-CN"/>
        </w:rPr>
        <w:t xml:space="preserve">-1: </w:t>
      </w:r>
      <w:r>
        <w:rPr>
          <w:rFonts w:hint="eastAsia"/>
          <w:b/>
          <w:bCs/>
          <w:sz w:val="20"/>
          <w:lang w:val="en-US" w:eastAsia="zh-CN"/>
        </w:rPr>
        <w:t xml:space="preserve">the general </w:t>
      </w:r>
      <w:r>
        <w:rPr>
          <w:rFonts w:hint="eastAsia"/>
          <w:b/>
          <w:bCs/>
          <w:sz w:val="20"/>
          <w:lang w:val="zh-CN" w:eastAsia="zh-CN"/>
        </w:rPr>
        <w:t>system parameters</w:t>
      </w:r>
      <w:r>
        <w:rPr>
          <w:rFonts w:hint="eastAsia"/>
          <w:b/>
          <w:bCs/>
          <w:sz w:val="20"/>
          <w:lang w:val="en-US" w:eastAsia="zh-CN"/>
        </w:rPr>
        <w:t xml:space="preserve"> for ATG network</w:t>
      </w:r>
    </w:p>
    <w:tbl>
      <w:tblPr>
        <w:tblStyle w:val="24"/>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2225"/>
        <w:gridCol w:w="2225"/>
        <w:gridCol w:w="2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rPr>
                <w:color w:val="auto"/>
              </w:rPr>
            </w:pPr>
            <w:r>
              <w:rPr>
                <w:rFonts w:hint="eastAsia"/>
                <w:color w:val="auto"/>
                <w:lang w:val="en-US" w:eastAsia="zh-CN"/>
              </w:rPr>
              <w:t>ATG CPE</w:t>
            </w:r>
            <w:r>
              <w:rPr>
                <w:color w:val="auto"/>
              </w:rPr>
              <w:t xml:space="preserve"> altitude </w:t>
            </w:r>
          </w:p>
        </w:tc>
        <w:tc>
          <w:tcPr>
            <w:tcW w:w="2225" w:type="dxa"/>
            <w:tcMar>
              <w:top w:w="28" w:type="dxa"/>
              <w:bottom w:w="28" w:type="dxa"/>
            </w:tcMar>
            <w:vAlign w:val="center"/>
          </w:tcPr>
          <w:p>
            <w:pPr>
              <w:pStyle w:val="35"/>
              <w:spacing w:after="20"/>
              <w:jc w:val="left"/>
              <w:rPr>
                <w:rFonts w:hint="eastAsia"/>
                <w:color w:val="auto"/>
                <w:lang w:val="en-US" w:eastAsia="zh-CN"/>
              </w:rPr>
            </w:pPr>
            <w:r>
              <w:rPr>
                <w:rFonts w:hint="eastAsia"/>
                <w:color w:val="auto"/>
                <w:lang w:val="en-US" w:eastAsia="zh-CN"/>
              </w:rPr>
              <w:t xml:space="preserve">3~7km (Note 2), 10 Km </w:t>
            </w:r>
          </w:p>
          <w:p>
            <w:pPr>
              <w:pStyle w:val="35"/>
              <w:spacing w:after="20"/>
              <w:jc w:val="left"/>
              <w:rPr>
                <w:rFonts w:hint="default"/>
                <w:color w:val="auto"/>
                <w:lang w:val="en-US" w:eastAsia="zh-CN"/>
              </w:rPr>
            </w:pPr>
          </w:p>
        </w:tc>
        <w:tc>
          <w:tcPr>
            <w:tcW w:w="2225" w:type="dxa"/>
            <w:tcMar>
              <w:top w:w="28" w:type="dxa"/>
              <w:bottom w:w="28" w:type="dxa"/>
            </w:tcMar>
            <w:vAlign w:val="center"/>
          </w:tcPr>
          <w:p>
            <w:pPr>
              <w:pStyle w:val="35"/>
              <w:spacing w:after="20"/>
              <w:jc w:val="left"/>
              <w:rPr>
                <w:rFonts w:hint="eastAsia"/>
                <w:color w:val="auto"/>
                <w:lang w:val="en-US" w:eastAsia="zh-CN"/>
              </w:rPr>
            </w:pPr>
            <w:r>
              <w:rPr>
                <w:rFonts w:hint="eastAsia"/>
                <w:color w:val="auto"/>
                <w:lang w:val="en-US" w:eastAsia="zh-CN"/>
              </w:rPr>
              <w:t>3~7km (Note 2), 10Km .</w:t>
            </w:r>
          </w:p>
          <w:p>
            <w:pPr>
              <w:pStyle w:val="35"/>
              <w:spacing w:after="20"/>
              <w:jc w:val="left"/>
              <w:rPr>
                <w:rFonts w:ascii="Arial" w:hAnsi="Arial" w:eastAsiaTheme="minorEastAsia" w:cstheme="minorBidi"/>
                <w:color w:val="auto"/>
                <w:kern w:val="2"/>
                <w:sz w:val="18"/>
                <w:szCs w:val="24"/>
                <w:lang w:val="en-US" w:eastAsia="zh-CN" w:bidi="ar-SA"/>
              </w:rPr>
            </w:pPr>
          </w:p>
        </w:tc>
        <w:tc>
          <w:tcPr>
            <w:tcW w:w="2225" w:type="dxa"/>
            <w:tcMar>
              <w:top w:w="28" w:type="dxa"/>
              <w:bottom w:w="28" w:type="dxa"/>
            </w:tcMar>
            <w:vAlign w:val="center"/>
          </w:tcPr>
          <w:p>
            <w:pPr>
              <w:pStyle w:val="35"/>
              <w:spacing w:after="20"/>
              <w:jc w:val="left"/>
              <w:rPr>
                <w:rFonts w:hint="eastAsia"/>
                <w:color w:val="auto"/>
                <w:lang w:val="en-US" w:eastAsia="zh-CN"/>
              </w:rPr>
            </w:pPr>
            <w:r>
              <w:rPr>
                <w:rFonts w:hint="eastAsia"/>
                <w:color w:val="auto"/>
                <w:lang w:val="en-US" w:eastAsia="zh-CN"/>
              </w:rPr>
              <w:t>3~7km (Note 2), 10 Km</w:t>
            </w:r>
          </w:p>
          <w:p>
            <w:pPr>
              <w:pStyle w:val="35"/>
              <w:spacing w:after="20"/>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 xml:space="preserve">Carrier frequency </w:t>
            </w:r>
          </w:p>
        </w:tc>
        <w:tc>
          <w:tcPr>
            <w:tcW w:w="2225" w:type="dxa"/>
            <w:tcMar>
              <w:top w:w="28" w:type="dxa"/>
              <w:bottom w:w="28" w:type="dxa"/>
            </w:tcMar>
            <w:vAlign w:val="center"/>
          </w:tcPr>
          <w:p>
            <w:pPr>
              <w:pStyle w:val="35"/>
              <w:spacing w:after="20"/>
              <w:jc w:val="left"/>
            </w:pPr>
            <w:r>
              <w:rPr>
                <w:rFonts w:hint="eastAsia"/>
                <w:lang w:val="en-US" w:eastAsia="zh-CN"/>
              </w:rPr>
              <w:t>4.9</w:t>
            </w:r>
            <w:r>
              <w:t xml:space="preserve"> GHz</w:t>
            </w:r>
          </w:p>
        </w:tc>
        <w:tc>
          <w:tcPr>
            <w:tcW w:w="2225" w:type="dxa"/>
            <w:tcMar>
              <w:top w:w="28" w:type="dxa"/>
              <w:bottom w:w="28" w:type="dxa"/>
            </w:tcMar>
            <w:vAlign w:val="center"/>
          </w:tcPr>
          <w:p>
            <w:pPr>
              <w:pStyle w:val="35"/>
              <w:spacing w:after="20"/>
              <w:jc w:val="left"/>
              <w:rPr>
                <w:rFonts w:hint="eastAsia" w:ascii="Arial" w:hAnsi="Arial" w:eastAsiaTheme="minorEastAsia" w:cstheme="minorBidi"/>
                <w:kern w:val="2"/>
                <w:sz w:val="18"/>
                <w:szCs w:val="24"/>
                <w:lang w:val="en-US" w:eastAsia="zh-CN" w:bidi="ar-SA"/>
              </w:rPr>
            </w:pPr>
            <w:r>
              <w:rPr>
                <w:rFonts w:hint="eastAsia"/>
                <w:lang w:val="en-US" w:eastAsia="zh-CN"/>
              </w:rPr>
              <w:t>3.5</w:t>
            </w:r>
            <w:r>
              <w:t xml:space="preserve"> GHz</w:t>
            </w:r>
          </w:p>
        </w:tc>
        <w:tc>
          <w:tcPr>
            <w:tcW w:w="2225" w:type="dxa"/>
            <w:tcMar>
              <w:top w:w="28" w:type="dxa"/>
              <w:bottom w:w="28" w:type="dxa"/>
            </w:tcMar>
            <w:vAlign w:val="center"/>
          </w:tcPr>
          <w:p>
            <w:pPr>
              <w:pStyle w:val="35"/>
              <w:spacing w:after="20"/>
              <w:jc w:val="left"/>
              <w:rPr>
                <w:rFonts w:hint="default"/>
                <w:lang w:val="en-US" w:eastAsia="zh-CN"/>
              </w:rPr>
            </w:pPr>
            <w:r>
              <w:rPr>
                <w:rFonts w:hint="eastAsia"/>
                <w:lang w:val="en-US" w:eastAsia="zh-CN"/>
              </w:rPr>
              <w:t>2.1GHz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Frequency reuse factor</w:t>
            </w:r>
          </w:p>
        </w:tc>
        <w:tc>
          <w:tcPr>
            <w:tcW w:w="2225" w:type="dxa"/>
            <w:tcMar>
              <w:top w:w="28" w:type="dxa"/>
              <w:bottom w:w="28" w:type="dxa"/>
            </w:tcMar>
            <w:vAlign w:val="center"/>
          </w:tcPr>
          <w:p>
            <w:pPr>
              <w:pStyle w:val="35"/>
              <w:spacing w:after="20"/>
              <w:jc w:val="left"/>
            </w:pPr>
            <w:r>
              <w:t>1</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1</w:t>
            </w:r>
          </w:p>
        </w:tc>
        <w:tc>
          <w:tcPr>
            <w:tcW w:w="2225" w:type="dxa"/>
            <w:tcMar>
              <w:top w:w="28" w:type="dxa"/>
              <w:bottom w:w="28" w:type="dxa"/>
            </w:tcMar>
            <w:vAlign w:val="center"/>
          </w:tcPr>
          <w:p>
            <w:pPr>
              <w:pStyle w:val="35"/>
              <w:spacing w:after="20"/>
              <w:jc w:val="left"/>
              <w:rPr>
                <w:rFonts w:hint="eastAsia" w:eastAsiaTheme="minorEastAsia"/>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Duplex scheme</w:t>
            </w:r>
          </w:p>
        </w:tc>
        <w:tc>
          <w:tcPr>
            <w:tcW w:w="2225" w:type="dxa"/>
            <w:tcMar>
              <w:top w:w="28" w:type="dxa"/>
              <w:bottom w:w="28" w:type="dxa"/>
            </w:tcMar>
            <w:vAlign w:val="center"/>
          </w:tcPr>
          <w:p>
            <w:pPr>
              <w:pStyle w:val="35"/>
              <w:spacing w:after="20"/>
              <w:jc w:val="left"/>
            </w:pPr>
            <w:r>
              <w:rPr>
                <w:rFonts w:hint="eastAsia"/>
                <w:lang w:val="en-US" w:eastAsia="zh-CN"/>
              </w:rPr>
              <w:t>T</w:t>
            </w:r>
            <w:r>
              <w:t>DD</w:t>
            </w:r>
          </w:p>
        </w:tc>
        <w:tc>
          <w:tcPr>
            <w:tcW w:w="2225" w:type="dxa"/>
            <w:tcMar>
              <w:top w:w="28" w:type="dxa"/>
              <w:bottom w:w="28" w:type="dxa"/>
            </w:tcMar>
            <w:vAlign w:val="center"/>
          </w:tcPr>
          <w:p>
            <w:pPr>
              <w:pStyle w:val="35"/>
              <w:spacing w:after="20"/>
              <w:jc w:val="left"/>
              <w:rPr>
                <w:rFonts w:hint="eastAsia" w:ascii="Arial" w:hAnsi="Arial" w:eastAsiaTheme="minorEastAsia" w:cstheme="minorBidi"/>
                <w:kern w:val="2"/>
                <w:sz w:val="18"/>
                <w:szCs w:val="24"/>
                <w:lang w:val="en-US" w:eastAsia="zh-CN" w:bidi="ar-SA"/>
              </w:rPr>
            </w:pPr>
            <w:r>
              <w:rPr>
                <w:rFonts w:hint="eastAsia"/>
                <w:lang w:val="en-US" w:eastAsia="zh-CN"/>
              </w:rPr>
              <w:t>T</w:t>
            </w:r>
            <w:r>
              <w:t>DD</w:t>
            </w:r>
          </w:p>
        </w:tc>
        <w:tc>
          <w:tcPr>
            <w:tcW w:w="2225" w:type="dxa"/>
            <w:tcMar>
              <w:top w:w="28" w:type="dxa"/>
              <w:bottom w:w="28" w:type="dxa"/>
            </w:tcMar>
            <w:vAlign w:val="center"/>
          </w:tcPr>
          <w:p>
            <w:pPr>
              <w:pStyle w:val="35"/>
              <w:spacing w:after="20"/>
              <w:jc w:val="left"/>
              <w:rPr>
                <w:rFonts w:hint="default"/>
                <w:lang w:val="en-US" w:eastAsia="zh-CN"/>
              </w:rPr>
            </w:pPr>
            <w:r>
              <w:rPr>
                <w:rFonts w:hint="eastAsia"/>
                <w:lang w:val="en-US"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Channel bandwidth</w:t>
            </w:r>
          </w:p>
        </w:tc>
        <w:tc>
          <w:tcPr>
            <w:tcW w:w="2225" w:type="dxa"/>
            <w:tcMar>
              <w:top w:w="28" w:type="dxa"/>
              <w:bottom w:w="28" w:type="dxa"/>
            </w:tcMar>
            <w:vAlign w:val="center"/>
          </w:tcPr>
          <w:p>
            <w:pPr>
              <w:pStyle w:val="35"/>
              <w:spacing w:after="20"/>
              <w:jc w:val="left"/>
            </w:pPr>
            <w:r>
              <w:rPr>
                <w:rFonts w:hint="eastAsia"/>
                <w:lang w:val="en-US" w:eastAsia="zh-CN"/>
              </w:rPr>
              <w:t>100</w:t>
            </w:r>
            <w:r>
              <w:t xml:space="preserve"> MHz</w:t>
            </w:r>
          </w:p>
        </w:tc>
        <w:tc>
          <w:tcPr>
            <w:tcW w:w="2225" w:type="dxa"/>
            <w:tcMar>
              <w:top w:w="28" w:type="dxa"/>
              <w:bottom w:w="28" w:type="dxa"/>
            </w:tcMar>
            <w:vAlign w:val="center"/>
          </w:tcPr>
          <w:p>
            <w:pPr>
              <w:pStyle w:val="35"/>
              <w:spacing w:after="20"/>
              <w:jc w:val="left"/>
              <w:rPr>
                <w:rFonts w:hint="eastAsia" w:ascii="Arial" w:hAnsi="Arial" w:eastAsiaTheme="minorEastAsia" w:cstheme="minorBidi"/>
                <w:kern w:val="2"/>
                <w:sz w:val="18"/>
                <w:szCs w:val="24"/>
                <w:lang w:val="en-US" w:eastAsia="zh-CN" w:bidi="ar-SA"/>
              </w:rPr>
            </w:pPr>
            <w:r>
              <w:rPr>
                <w:rFonts w:hint="eastAsia"/>
                <w:lang w:val="en-US" w:eastAsia="zh-CN"/>
              </w:rPr>
              <w:t>100MHz</w:t>
            </w:r>
          </w:p>
        </w:tc>
        <w:tc>
          <w:tcPr>
            <w:tcW w:w="2225" w:type="dxa"/>
            <w:tcMar>
              <w:top w:w="28" w:type="dxa"/>
              <w:bottom w:w="28" w:type="dxa"/>
            </w:tcMar>
            <w:vAlign w:val="center"/>
          </w:tcPr>
          <w:p>
            <w:pPr>
              <w:pStyle w:val="35"/>
              <w:spacing w:after="20"/>
              <w:jc w:val="left"/>
              <w:rPr>
                <w:rFonts w:hint="default"/>
                <w:lang w:val="en-US" w:eastAsia="zh-CN"/>
              </w:rPr>
            </w:pPr>
            <w:r>
              <w:rPr>
                <w:rFonts w:hint="eastAsia"/>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Subcarrier spacing (SCS)</w:t>
            </w:r>
          </w:p>
        </w:tc>
        <w:tc>
          <w:tcPr>
            <w:tcW w:w="2225" w:type="dxa"/>
            <w:tcMar>
              <w:top w:w="28" w:type="dxa"/>
              <w:bottom w:w="28" w:type="dxa"/>
            </w:tcMar>
            <w:vAlign w:val="center"/>
          </w:tcPr>
          <w:p>
            <w:pPr>
              <w:pStyle w:val="35"/>
              <w:spacing w:after="20"/>
              <w:jc w:val="left"/>
            </w:pPr>
            <w:r>
              <w:rPr>
                <w:rFonts w:hint="eastAsia"/>
                <w:lang w:val="en-US" w:eastAsia="zh-CN"/>
              </w:rPr>
              <w:t>30</w:t>
            </w:r>
            <w:r>
              <w:t xml:space="preserve"> KHz</w:t>
            </w:r>
          </w:p>
        </w:tc>
        <w:tc>
          <w:tcPr>
            <w:tcW w:w="2225" w:type="dxa"/>
            <w:tcMar>
              <w:top w:w="28" w:type="dxa"/>
              <w:bottom w:w="28" w:type="dxa"/>
            </w:tcMar>
            <w:vAlign w:val="center"/>
          </w:tcPr>
          <w:p>
            <w:pPr>
              <w:pStyle w:val="35"/>
              <w:spacing w:after="20"/>
              <w:jc w:val="left"/>
              <w:rPr>
                <w:rFonts w:hint="eastAsia" w:ascii="Arial" w:hAnsi="Arial" w:eastAsiaTheme="minorEastAsia" w:cstheme="minorBidi"/>
                <w:kern w:val="2"/>
                <w:sz w:val="18"/>
                <w:szCs w:val="24"/>
                <w:lang w:val="en-US" w:eastAsia="zh-CN" w:bidi="ar-SA"/>
              </w:rPr>
            </w:pPr>
            <w:r>
              <w:rPr>
                <w:rFonts w:hint="eastAsia"/>
                <w:lang w:val="en-US" w:eastAsia="zh-CN"/>
              </w:rPr>
              <w:t>30</w:t>
            </w:r>
            <w:r>
              <w:t xml:space="preserve"> KHz</w:t>
            </w:r>
          </w:p>
        </w:tc>
        <w:tc>
          <w:tcPr>
            <w:tcW w:w="2225" w:type="dxa"/>
            <w:tcMar>
              <w:top w:w="28" w:type="dxa"/>
              <w:bottom w:w="28" w:type="dxa"/>
            </w:tcMar>
            <w:vAlign w:val="center"/>
          </w:tcPr>
          <w:p>
            <w:pPr>
              <w:pStyle w:val="35"/>
              <w:spacing w:after="20"/>
              <w:jc w:val="left"/>
              <w:rPr>
                <w:rFonts w:hint="eastAsia"/>
                <w:lang w:val="en-US" w:eastAsia="zh-CN"/>
              </w:rPr>
            </w:pPr>
            <w:r>
              <w:rPr>
                <w:rFonts w:hint="eastAsia"/>
                <w:lang w:val="en-US" w:eastAsia="zh-CN"/>
              </w:rPr>
              <w:t>15</w:t>
            </w:r>
            <w:r>
              <w:t xml:space="preserve">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Number of cells</w:t>
            </w:r>
          </w:p>
        </w:tc>
        <w:tc>
          <w:tcPr>
            <w:tcW w:w="2225" w:type="dxa"/>
            <w:tcMar>
              <w:top w:w="28" w:type="dxa"/>
              <w:bottom w:w="28" w:type="dxa"/>
            </w:tcMar>
            <w:vAlign w:val="center"/>
          </w:tcPr>
          <w:p>
            <w:pPr>
              <w:pStyle w:val="35"/>
              <w:spacing w:after="20"/>
              <w:jc w:val="left"/>
              <w:rPr>
                <w:rFonts w:hint="eastAsia" w:eastAsiaTheme="minorEastAsia"/>
                <w:lang w:eastAsia="zh-CN"/>
              </w:rPr>
            </w:pPr>
            <w:r>
              <w:rPr>
                <w:rFonts w:hint="eastAsia"/>
                <w:lang w:val="en-US" w:eastAsia="zh-CN"/>
              </w:rPr>
              <w:t>1</w:t>
            </w:r>
          </w:p>
        </w:tc>
        <w:tc>
          <w:tcPr>
            <w:tcW w:w="2225" w:type="dxa"/>
            <w:tcMar>
              <w:top w:w="28" w:type="dxa"/>
              <w:bottom w:w="28" w:type="dxa"/>
            </w:tcMar>
            <w:vAlign w:val="center"/>
          </w:tcPr>
          <w:p>
            <w:pPr>
              <w:pStyle w:val="35"/>
              <w:spacing w:after="20"/>
              <w:jc w:val="left"/>
              <w:rPr>
                <w:rFonts w:hint="eastAsia" w:ascii="Arial" w:hAnsi="Arial" w:eastAsiaTheme="minorEastAsia" w:cstheme="minorBidi"/>
                <w:kern w:val="2"/>
                <w:sz w:val="18"/>
                <w:szCs w:val="24"/>
                <w:lang w:val="en-US" w:eastAsia="zh-CN" w:bidi="ar-SA"/>
              </w:rPr>
            </w:pPr>
            <w:r>
              <w:rPr>
                <w:rFonts w:hint="eastAsia"/>
                <w:lang w:val="en-US" w:eastAsia="zh-CN"/>
              </w:rPr>
              <w:t>1</w:t>
            </w:r>
          </w:p>
        </w:tc>
        <w:tc>
          <w:tcPr>
            <w:tcW w:w="2225" w:type="dxa"/>
            <w:tcMar>
              <w:top w:w="28" w:type="dxa"/>
              <w:bottom w:w="28" w:type="dxa"/>
            </w:tcMar>
            <w:vAlign w:val="center"/>
          </w:tcPr>
          <w:p>
            <w:pPr>
              <w:pStyle w:val="35"/>
              <w:spacing w:after="20"/>
              <w:jc w:val="left"/>
              <w:rPr>
                <w:rFonts w:hint="default"/>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rPr>
                <w:strike w:val="0"/>
                <w:dstrike w:val="0"/>
              </w:rPr>
            </w:pPr>
            <w:r>
              <w:rPr>
                <w:strike w:val="0"/>
                <w:dstrike w:val="0"/>
              </w:rPr>
              <w:t xml:space="preserve">Frequency reuse </w:t>
            </w:r>
          </w:p>
        </w:tc>
        <w:tc>
          <w:tcPr>
            <w:tcW w:w="2225" w:type="dxa"/>
            <w:tcMar>
              <w:top w:w="28" w:type="dxa"/>
              <w:bottom w:w="28" w:type="dxa"/>
            </w:tcMar>
            <w:vAlign w:val="center"/>
          </w:tcPr>
          <w:p>
            <w:pPr>
              <w:pStyle w:val="35"/>
              <w:spacing w:after="20"/>
              <w:jc w:val="left"/>
              <w:rPr>
                <w:strike w:val="0"/>
                <w:dstrike w:val="0"/>
              </w:rPr>
            </w:pPr>
            <w:r>
              <w:rPr>
                <w:strike w:val="0"/>
                <w:dstrike w:val="0"/>
              </w:rPr>
              <w:t>1</w:t>
            </w:r>
          </w:p>
        </w:tc>
        <w:tc>
          <w:tcPr>
            <w:tcW w:w="2225" w:type="dxa"/>
            <w:tcMar>
              <w:top w:w="28" w:type="dxa"/>
              <w:bottom w:w="28" w:type="dxa"/>
            </w:tcMar>
            <w:vAlign w:val="center"/>
          </w:tcPr>
          <w:p>
            <w:pPr>
              <w:pStyle w:val="35"/>
              <w:spacing w:after="20"/>
              <w:jc w:val="left"/>
              <w:rPr>
                <w:rFonts w:ascii="Arial" w:hAnsi="Arial" w:eastAsiaTheme="minorEastAsia" w:cstheme="minorBidi"/>
                <w:strike w:val="0"/>
                <w:dstrike w:val="0"/>
                <w:kern w:val="2"/>
                <w:sz w:val="18"/>
                <w:szCs w:val="24"/>
                <w:lang w:val="en-US" w:eastAsia="zh-CN" w:bidi="ar-SA"/>
              </w:rPr>
            </w:pPr>
            <w:r>
              <w:rPr>
                <w:strike w:val="0"/>
                <w:dstrike w:val="0"/>
              </w:rPr>
              <w:t>1</w:t>
            </w:r>
          </w:p>
        </w:tc>
        <w:tc>
          <w:tcPr>
            <w:tcW w:w="2225" w:type="dxa"/>
            <w:tcMar>
              <w:top w:w="28" w:type="dxa"/>
              <w:bottom w:w="28" w:type="dxa"/>
            </w:tcMar>
            <w:vAlign w:val="center"/>
          </w:tcPr>
          <w:p>
            <w:pPr>
              <w:pStyle w:val="35"/>
              <w:spacing w:after="20"/>
              <w:jc w:val="left"/>
              <w:rPr>
                <w:rFonts w:hint="eastAsia" w:eastAsiaTheme="minorEastAsia"/>
                <w:strike w:val="0"/>
                <w:dstrike w:val="0"/>
                <w:lang w:val="en-US" w:eastAsia="zh-CN"/>
              </w:rPr>
            </w:pPr>
            <w:r>
              <w:rPr>
                <w:rFonts w:hint="eastAsia"/>
                <w:strike w:val="0"/>
                <w:dstrike w:val="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Environment</w:t>
            </w:r>
            <w:r>
              <w:rPr>
                <w:vertAlign w:val="superscript"/>
              </w:rPr>
              <w:t>1</w:t>
            </w:r>
          </w:p>
        </w:tc>
        <w:tc>
          <w:tcPr>
            <w:tcW w:w="2225" w:type="dxa"/>
            <w:tcMar>
              <w:top w:w="28" w:type="dxa"/>
              <w:bottom w:w="28" w:type="dxa"/>
            </w:tcMar>
            <w:vAlign w:val="center"/>
          </w:tcPr>
          <w:p>
            <w:pPr>
              <w:pStyle w:val="35"/>
              <w:spacing w:after="20"/>
              <w:jc w:val="left"/>
            </w:pPr>
            <w:r>
              <w:t>Rural</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Rural</w:t>
            </w:r>
          </w:p>
        </w:tc>
        <w:tc>
          <w:tcPr>
            <w:tcW w:w="2225" w:type="dxa"/>
            <w:tcMar>
              <w:top w:w="28" w:type="dxa"/>
              <w:bottom w:w="28" w:type="dxa"/>
            </w:tcMar>
            <w:vAlign w:val="center"/>
          </w:tcPr>
          <w:p>
            <w:pPr>
              <w:pStyle w:val="35"/>
              <w:spacing w:after="20"/>
              <w:jc w:val="left"/>
            </w:pPr>
            <w:r>
              <w:t>Rural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UE distribution</w:t>
            </w:r>
          </w:p>
        </w:tc>
        <w:tc>
          <w:tcPr>
            <w:tcW w:w="2225" w:type="dxa"/>
            <w:tcMar>
              <w:top w:w="28" w:type="dxa"/>
              <w:bottom w:w="28" w:type="dxa"/>
            </w:tcMar>
            <w:vAlign w:val="center"/>
          </w:tcPr>
          <w:p>
            <w:pPr>
              <w:pStyle w:val="35"/>
              <w:spacing w:after="20"/>
              <w:jc w:val="left"/>
              <w:rPr>
                <w:rFonts w:hint="default" w:eastAsiaTheme="minorEastAsia"/>
                <w:lang w:val="en-US" w:eastAsia="zh-CN"/>
              </w:rPr>
            </w:pPr>
            <w:r>
              <w:rPr>
                <w:rFonts w:hint="eastAsia"/>
                <w:lang w:val="en-US" w:eastAsia="zh-CN"/>
              </w:rPr>
              <w:t>Single UE per ATG cell</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rPr>
                <w:rFonts w:hint="eastAsia"/>
                <w:lang w:val="en-US" w:eastAsia="zh-CN"/>
              </w:rPr>
              <w:t>Single UE per ATG cell</w:t>
            </w:r>
          </w:p>
        </w:tc>
        <w:tc>
          <w:tcPr>
            <w:tcW w:w="2225" w:type="dxa"/>
            <w:tcMar>
              <w:top w:w="28" w:type="dxa"/>
              <w:bottom w:w="28" w:type="dxa"/>
            </w:tcMar>
            <w:vAlign w:val="center"/>
          </w:tcPr>
          <w:p>
            <w:pPr>
              <w:pStyle w:val="35"/>
              <w:spacing w:after="20"/>
              <w:jc w:val="left"/>
            </w:pPr>
            <w:r>
              <w:rPr>
                <w:rFonts w:hint="eastAsia"/>
                <w:lang w:val="en-US" w:eastAsia="zh-CN"/>
              </w:rPr>
              <w:t>Single UE per ATG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Indoor UE percentage</w:t>
            </w:r>
          </w:p>
        </w:tc>
        <w:tc>
          <w:tcPr>
            <w:tcW w:w="2225" w:type="dxa"/>
            <w:tcMar>
              <w:top w:w="28" w:type="dxa"/>
              <w:bottom w:w="28" w:type="dxa"/>
            </w:tcMar>
            <w:vAlign w:val="center"/>
          </w:tcPr>
          <w:p>
            <w:pPr>
              <w:pStyle w:val="35"/>
              <w:spacing w:after="20"/>
              <w:jc w:val="left"/>
            </w:pPr>
            <w:r>
              <w:t>0%</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0%</w:t>
            </w:r>
          </w:p>
        </w:tc>
        <w:tc>
          <w:tcPr>
            <w:tcW w:w="2225" w:type="dxa"/>
            <w:tcMar>
              <w:top w:w="28" w:type="dxa"/>
              <w:bottom w:w="28" w:type="dxa"/>
            </w:tcMar>
            <w:vAlign w:val="center"/>
          </w:tcPr>
          <w:p>
            <w:pPr>
              <w:pStyle w:val="35"/>
              <w:spacing w:after="20"/>
              <w:jc w:val="left"/>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Number of DL scheduled UEs per cell</w:t>
            </w:r>
          </w:p>
        </w:tc>
        <w:tc>
          <w:tcPr>
            <w:tcW w:w="2225" w:type="dxa"/>
            <w:tcMar>
              <w:top w:w="28" w:type="dxa"/>
              <w:bottom w:w="28" w:type="dxa"/>
            </w:tcMar>
            <w:vAlign w:val="center"/>
          </w:tcPr>
          <w:p>
            <w:pPr>
              <w:pStyle w:val="35"/>
              <w:spacing w:after="20"/>
              <w:jc w:val="left"/>
            </w:pPr>
            <w:r>
              <w:t>1</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1</w:t>
            </w:r>
          </w:p>
        </w:tc>
        <w:tc>
          <w:tcPr>
            <w:tcW w:w="2225" w:type="dxa"/>
            <w:tcMar>
              <w:top w:w="28" w:type="dxa"/>
              <w:bottom w:w="28" w:type="dxa"/>
            </w:tcMar>
            <w:vAlign w:val="center"/>
          </w:tcPr>
          <w:p>
            <w:pPr>
              <w:pStyle w:val="35"/>
              <w:spacing w:after="20"/>
              <w:jc w:val="left"/>
              <w:rPr>
                <w:rFonts w:hint="eastAsia" w:eastAsiaTheme="minorEastAsia"/>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Number of UL scheduled UEs per cell</w:t>
            </w:r>
          </w:p>
        </w:tc>
        <w:tc>
          <w:tcPr>
            <w:tcW w:w="2225" w:type="dxa"/>
            <w:tcMar>
              <w:top w:w="28" w:type="dxa"/>
              <w:bottom w:w="28" w:type="dxa"/>
            </w:tcMar>
            <w:vAlign w:val="center"/>
          </w:tcPr>
          <w:p>
            <w:pPr>
              <w:pStyle w:val="35"/>
              <w:spacing w:after="20"/>
              <w:jc w:val="left"/>
              <w:rPr>
                <w:rFonts w:hint="eastAsia" w:eastAsiaTheme="minorEastAsia"/>
                <w:lang w:val="en-US" w:eastAsia="zh-CN"/>
              </w:rPr>
            </w:pPr>
            <w:r>
              <w:rPr>
                <w:rFonts w:hint="eastAsia"/>
                <w:lang w:val="en-US" w:eastAsia="zh-CN"/>
              </w:rPr>
              <w:t>1</w:t>
            </w:r>
          </w:p>
        </w:tc>
        <w:tc>
          <w:tcPr>
            <w:tcW w:w="2225" w:type="dxa"/>
            <w:tcMar>
              <w:top w:w="28" w:type="dxa"/>
              <w:bottom w:w="28" w:type="dxa"/>
            </w:tcMar>
            <w:vAlign w:val="center"/>
          </w:tcPr>
          <w:p>
            <w:pPr>
              <w:pStyle w:val="35"/>
              <w:spacing w:after="20"/>
              <w:jc w:val="left"/>
              <w:rPr>
                <w:rFonts w:hint="default" w:ascii="Arial" w:hAnsi="Arial" w:eastAsiaTheme="minorEastAsia" w:cstheme="minorBidi"/>
                <w:kern w:val="2"/>
                <w:sz w:val="18"/>
                <w:szCs w:val="24"/>
                <w:lang w:val="en-US" w:eastAsia="zh-CN" w:bidi="ar-SA"/>
              </w:rPr>
            </w:pPr>
            <w:r>
              <w:rPr>
                <w:rFonts w:hint="eastAsia" w:cstheme="minorBidi"/>
                <w:kern w:val="2"/>
                <w:sz w:val="18"/>
                <w:szCs w:val="24"/>
                <w:lang w:val="en-US" w:eastAsia="zh-CN" w:bidi="ar-SA"/>
              </w:rPr>
              <w:t>1</w:t>
            </w:r>
          </w:p>
        </w:tc>
        <w:tc>
          <w:tcPr>
            <w:tcW w:w="2225" w:type="dxa"/>
            <w:tcMar>
              <w:top w:w="28" w:type="dxa"/>
              <w:bottom w:w="28" w:type="dxa"/>
            </w:tcMar>
            <w:vAlign w:val="center"/>
          </w:tcPr>
          <w:p>
            <w:pPr>
              <w:pStyle w:val="35"/>
              <w:spacing w:after="20"/>
              <w:jc w:val="left"/>
              <w:rPr>
                <w:rFonts w:hint="eastAsia" w:eastAsiaTheme="minorEastAsia"/>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DL scheduled bandwidth per UE</w:t>
            </w:r>
          </w:p>
        </w:tc>
        <w:tc>
          <w:tcPr>
            <w:tcW w:w="2225" w:type="dxa"/>
            <w:tcMar>
              <w:top w:w="28" w:type="dxa"/>
              <w:bottom w:w="28" w:type="dxa"/>
            </w:tcMar>
            <w:vAlign w:val="center"/>
          </w:tcPr>
          <w:p>
            <w:pPr>
              <w:pStyle w:val="35"/>
              <w:spacing w:after="20"/>
              <w:jc w:val="left"/>
            </w:pPr>
            <w:r>
              <w:rPr>
                <w:rFonts w:hint="eastAsia"/>
                <w:lang w:val="en-US" w:eastAsia="zh-CN"/>
              </w:rPr>
              <w:t>100</w:t>
            </w:r>
            <w:r>
              <w:t xml:space="preserve"> MHz</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rPr>
                <w:rFonts w:hint="eastAsia"/>
                <w:lang w:val="en-US" w:eastAsia="zh-CN"/>
              </w:rPr>
              <w:t>100</w:t>
            </w:r>
            <w:r>
              <w:t xml:space="preserve"> MHz</w:t>
            </w:r>
          </w:p>
        </w:tc>
        <w:tc>
          <w:tcPr>
            <w:tcW w:w="2225" w:type="dxa"/>
            <w:tcMar>
              <w:top w:w="28" w:type="dxa"/>
              <w:bottom w:w="28" w:type="dxa"/>
            </w:tcMar>
            <w:vAlign w:val="center"/>
          </w:tcPr>
          <w:p>
            <w:pPr>
              <w:pStyle w:val="35"/>
              <w:spacing w:after="20"/>
              <w:jc w:val="left"/>
              <w:rPr>
                <w:rFonts w:hint="default"/>
                <w:lang w:val="en-US" w:eastAsia="zh-CN"/>
              </w:rPr>
            </w:pPr>
            <w:r>
              <w:rPr>
                <w:rFonts w:hint="eastAsia"/>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UL scheduled bandwidth per UE</w:t>
            </w:r>
          </w:p>
        </w:tc>
        <w:tc>
          <w:tcPr>
            <w:tcW w:w="2225" w:type="dxa"/>
            <w:tcMar>
              <w:top w:w="28" w:type="dxa"/>
              <w:bottom w:w="28" w:type="dxa"/>
            </w:tcMar>
            <w:vAlign w:val="center"/>
          </w:tcPr>
          <w:p>
            <w:pPr>
              <w:pStyle w:val="35"/>
              <w:spacing w:after="20"/>
              <w:jc w:val="left"/>
            </w:pPr>
            <w:r>
              <w:rPr>
                <w:rFonts w:hint="eastAsia"/>
                <w:lang w:val="en-US" w:eastAsia="zh-CN"/>
              </w:rPr>
              <w:t>100</w:t>
            </w:r>
            <w:r>
              <w:t xml:space="preserve"> MHz</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rPr>
                <w:rFonts w:hint="eastAsia"/>
                <w:lang w:val="en-US" w:eastAsia="zh-CN"/>
              </w:rPr>
              <w:t>100</w:t>
            </w:r>
            <w:r>
              <w:t xml:space="preserve"> MHz</w:t>
            </w:r>
          </w:p>
        </w:tc>
        <w:tc>
          <w:tcPr>
            <w:tcW w:w="2225" w:type="dxa"/>
            <w:tcMar>
              <w:top w:w="28" w:type="dxa"/>
              <w:bottom w:w="28" w:type="dxa"/>
            </w:tcMar>
            <w:vAlign w:val="center"/>
          </w:tcPr>
          <w:p>
            <w:pPr>
              <w:pStyle w:val="35"/>
              <w:spacing w:after="20"/>
              <w:jc w:val="left"/>
              <w:rPr>
                <w:rFonts w:hint="eastAsia"/>
                <w:lang w:val="en-US" w:eastAsia="zh-CN"/>
              </w:rPr>
            </w:pPr>
            <w:r>
              <w:rPr>
                <w:rFonts w:hint="eastAsia"/>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t>DL power control</w:t>
            </w:r>
          </w:p>
        </w:tc>
        <w:tc>
          <w:tcPr>
            <w:tcW w:w="2225" w:type="dxa"/>
            <w:tcMar>
              <w:top w:w="28" w:type="dxa"/>
              <w:bottom w:w="28" w:type="dxa"/>
            </w:tcMar>
            <w:vAlign w:val="center"/>
          </w:tcPr>
          <w:p>
            <w:pPr>
              <w:pStyle w:val="35"/>
              <w:spacing w:after="20"/>
              <w:jc w:val="left"/>
            </w:pPr>
            <w:r>
              <w:t>No</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No</w:t>
            </w:r>
          </w:p>
        </w:tc>
        <w:tc>
          <w:tcPr>
            <w:tcW w:w="2225" w:type="dxa"/>
            <w:tcMar>
              <w:top w:w="28" w:type="dxa"/>
              <w:bottom w:w="28" w:type="dxa"/>
            </w:tcMar>
            <w:vAlign w:val="center"/>
          </w:tcPr>
          <w:p>
            <w:pPr>
              <w:pStyle w:val="35"/>
              <w:spacing w:after="20"/>
              <w:jc w:val="left"/>
              <w:rPr>
                <w:rFonts w:hint="default" w:eastAsiaTheme="minorEastAsia"/>
                <w:lang w:val="en-US" w:eastAsia="zh-CN"/>
              </w:rPr>
            </w:pPr>
            <w:r>
              <w:rPr>
                <w:rFonts w:hint="eastAsia"/>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rPr>
                <w:color w:val="auto"/>
                <w:highlight w:val="none"/>
              </w:rPr>
            </w:pPr>
            <w:r>
              <w:rPr>
                <w:color w:val="auto"/>
                <w:highlight w:val="none"/>
              </w:rPr>
              <w:t>UL power control</w:t>
            </w:r>
          </w:p>
        </w:tc>
        <w:tc>
          <w:tcPr>
            <w:tcW w:w="2225" w:type="dxa"/>
            <w:tcMar>
              <w:top w:w="28" w:type="dxa"/>
              <w:bottom w:w="28" w:type="dxa"/>
            </w:tcMar>
            <w:vAlign w:val="center"/>
          </w:tcPr>
          <w:p>
            <w:pPr>
              <w:pStyle w:val="35"/>
              <w:spacing w:after="20"/>
              <w:jc w:val="left"/>
              <w:rPr>
                <w:rFonts w:hint="eastAsia" w:eastAsia="宋体"/>
                <w:color w:val="auto"/>
                <w:highlight w:val="none"/>
                <w:lang w:val="en-US" w:eastAsia="zh-CN"/>
              </w:rPr>
            </w:pPr>
            <w:r>
              <w:rPr>
                <w:color w:val="auto"/>
                <w:highlight w:val="none"/>
              </w:rPr>
              <w:t>See section 2.6.</w:t>
            </w:r>
            <w:r>
              <w:rPr>
                <w:rFonts w:hint="eastAsia" w:eastAsia="宋体"/>
                <w:color w:val="auto"/>
                <w:highlight w:val="none"/>
                <w:lang w:val="en-US" w:eastAsia="zh-CN"/>
              </w:rPr>
              <w:t>2</w:t>
            </w:r>
          </w:p>
        </w:tc>
        <w:tc>
          <w:tcPr>
            <w:tcW w:w="2225" w:type="dxa"/>
            <w:tcMar>
              <w:top w:w="28" w:type="dxa"/>
              <w:bottom w:w="28" w:type="dxa"/>
            </w:tcMar>
            <w:vAlign w:val="center"/>
          </w:tcPr>
          <w:p>
            <w:pPr>
              <w:pStyle w:val="35"/>
              <w:spacing w:after="20"/>
              <w:jc w:val="left"/>
              <w:rPr>
                <w:rFonts w:ascii="Arial" w:hAnsi="Arial" w:eastAsiaTheme="minorEastAsia" w:cstheme="minorBidi"/>
                <w:color w:val="auto"/>
                <w:kern w:val="2"/>
                <w:sz w:val="18"/>
                <w:szCs w:val="24"/>
                <w:highlight w:val="none"/>
                <w:lang w:val="en-US" w:eastAsia="zh-CN" w:bidi="ar-SA"/>
              </w:rPr>
            </w:pPr>
            <w:r>
              <w:rPr>
                <w:color w:val="auto"/>
                <w:highlight w:val="none"/>
              </w:rPr>
              <w:t>See section 2.6.</w:t>
            </w:r>
            <w:r>
              <w:rPr>
                <w:rFonts w:hint="eastAsia" w:eastAsia="宋体"/>
                <w:color w:val="auto"/>
                <w:highlight w:val="none"/>
                <w:lang w:val="en-US" w:eastAsia="zh-CN"/>
              </w:rPr>
              <w:t>2</w:t>
            </w:r>
          </w:p>
        </w:tc>
        <w:tc>
          <w:tcPr>
            <w:tcW w:w="2225" w:type="dxa"/>
            <w:tcMar>
              <w:top w:w="28" w:type="dxa"/>
              <w:bottom w:w="28" w:type="dxa"/>
            </w:tcMar>
            <w:vAlign w:val="center"/>
          </w:tcPr>
          <w:p>
            <w:pPr>
              <w:pStyle w:val="35"/>
              <w:spacing w:after="20"/>
              <w:jc w:val="left"/>
              <w:rPr>
                <w:color w:val="auto"/>
                <w:highlight w:val="none"/>
              </w:rPr>
            </w:pPr>
            <w:r>
              <w:rPr>
                <w:color w:val="auto"/>
                <w:highlight w:val="none"/>
              </w:rPr>
              <w:t>See section 2.6.</w:t>
            </w:r>
            <w:r>
              <w:rPr>
                <w:rFonts w:hint="eastAsia" w:eastAsia="宋体"/>
                <w:color w:val="auto"/>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rPr>
                <w:color w:val="auto"/>
                <w:highlight w:val="none"/>
              </w:rPr>
            </w:pPr>
            <w:r>
              <w:rPr>
                <w:rFonts w:hint="eastAsia"/>
                <w:color w:val="auto"/>
                <w:highlight w:val="none"/>
                <w:lang w:val="en-US" w:eastAsia="zh-CN"/>
              </w:rPr>
              <w:t>ATG BS</w:t>
            </w:r>
            <w:r>
              <w:rPr>
                <w:color w:val="auto"/>
                <w:highlight w:val="none"/>
              </w:rPr>
              <w:t xml:space="preserve"> antenna</w:t>
            </w:r>
          </w:p>
        </w:tc>
        <w:tc>
          <w:tcPr>
            <w:tcW w:w="2225" w:type="dxa"/>
            <w:tcMar>
              <w:top w:w="28" w:type="dxa"/>
              <w:bottom w:w="28" w:type="dxa"/>
            </w:tcMar>
            <w:vAlign w:val="center"/>
          </w:tcPr>
          <w:p>
            <w:pPr>
              <w:pStyle w:val="35"/>
              <w:spacing w:after="20"/>
              <w:jc w:val="left"/>
              <w:rPr>
                <w:rFonts w:hint="eastAsia" w:eastAsia="宋体"/>
                <w:color w:val="auto"/>
                <w:highlight w:val="none"/>
                <w:lang w:val="en-US" w:eastAsia="zh-CN"/>
              </w:rPr>
            </w:pPr>
            <w:r>
              <w:rPr>
                <w:color w:val="auto"/>
                <w:highlight w:val="none"/>
              </w:rPr>
              <w:t>See section 2.3.</w:t>
            </w:r>
            <w:r>
              <w:rPr>
                <w:rFonts w:hint="eastAsia" w:eastAsia="宋体"/>
                <w:color w:val="auto"/>
                <w:highlight w:val="none"/>
                <w:lang w:val="en-US" w:eastAsia="zh-CN"/>
              </w:rPr>
              <w:t>1</w:t>
            </w:r>
          </w:p>
        </w:tc>
        <w:tc>
          <w:tcPr>
            <w:tcW w:w="2225" w:type="dxa"/>
            <w:tcMar>
              <w:top w:w="28" w:type="dxa"/>
              <w:bottom w:w="28" w:type="dxa"/>
            </w:tcMar>
            <w:vAlign w:val="center"/>
          </w:tcPr>
          <w:p>
            <w:pPr>
              <w:pStyle w:val="35"/>
              <w:spacing w:after="20"/>
              <w:jc w:val="left"/>
              <w:rPr>
                <w:rFonts w:ascii="Arial" w:hAnsi="Arial" w:eastAsiaTheme="minorEastAsia" w:cstheme="minorBidi"/>
                <w:color w:val="auto"/>
                <w:kern w:val="2"/>
                <w:sz w:val="18"/>
                <w:szCs w:val="24"/>
                <w:highlight w:val="none"/>
                <w:lang w:val="en-US" w:eastAsia="zh-CN" w:bidi="ar-SA"/>
              </w:rPr>
            </w:pPr>
            <w:r>
              <w:rPr>
                <w:color w:val="auto"/>
                <w:highlight w:val="none"/>
              </w:rPr>
              <w:t>See section 2.3.</w:t>
            </w:r>
            <w:r>
              <w:rPr>
                <w:rFonts w:hint="eastAsia" w:eastAsia="宋体"/>
                <w:color w:val="auto"/>
                <w:highlight w:val="none"/>
                <w:lang w:val="en-US" w:eastAsia="zh-CN"/>
              </w:rPr>
              <w:t>1</w:t>
            </w:r>
          </w:p>
        </w:tc>
        <w:tc>
          <w:tcPr>
            <w:tcW w:w="2225" w:type="dxa"/>
            <w:tcMar>
              <w:top w:w="28" w:type="dxa"/>
              <w:bottom w:w="28" w:type="dxa"/>
            </w:tcMar>
            <w:vAlign w:val="center"/>
          </w:tcPr>
          <w:p>
            <w:pPr>
              <w:pStyle w:val="35"/>
              <w:spacing w:after="20"/>
              <w:jc w:val="left"/>
              <w:rPr>
                <w:color w:val="auto"/>
                <w:highlight w:val="none"/>
              </w:rPr>
            </w:pPr>
            <w:r>
              <w:rPr>
                <w:color w:val="auto"/>
                <w:highlight w:val="none"/>
              </w:rPr>
              <w:t>See section 2.3.</w:t>
            </w:r>
            <w:r>
              <w:rPr>
                <w:rFonts w:hint="eastAsia" w:eastAsia="宋体"/>
                <w:color w:val="auto"/>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pPr>
            <w:r>
              <w:rPr>
                <w:rFonts w:hint="eastAsia"/>
                <w:lang w:val="en-US" w:eastAsia="zh-CN"/>
              </w:rPr>
              <w:t>ATG BS</w:t>
            </w:r>
            <w:r>
              <w:t xml:space="preserve"> noise figure</w:t>
            </w:r>
          </w:p>
        </w:tc>
        <w:tc>
          <w:tcPr>
            <w:tcW w:w="2225" w:type="dxa"/>
            <w:tcMar>
              <w:top w:w="28" w:type="dxa"/>
              <w:bottom w:w="28" w:type="dxa"/>
            </w:tcMar>
            <w:vAlign w:val="center"/>
          </w:tcPr>
          <w:p>
            <w:pPr>
              <w:pStyle w:val="35"/>
              <w:spacing w:after="20"/>
              <w:jc w:val="left"/>
            </w:pPr>
            <w:r>
              <w:t>5 dB</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5 dB</w:t>
            </w:r>
          </w:p>
        </w:tc>
        <w:tc>
          <w:tcPr>
            <w:tcW w:w="2225" w:type="dxa"/>
            <w:tcMar>
              <w:top w:w="28" w:type="dxa"/>
              <w:bottom w:w="28" w:type="dxa"/>
            </w:tcMar>
            <w:vAlign w:val="center"/>
          </w:tcPr>
          <w:p>
            <w:pPr>
              <w:pStyle w:val="35"/>
              <w:spacing w:after="20"/>
              <w:jc w:val="left"/>
              <w:rPr>
                <w:rFonts w:ascii="Arial" w:hAnsi="Arial" w:eastAsiaTheme="minorEastAsia" w:cstheme="minorBidi"/>
                <w:kern w:val="2"/>
                <w:sz w:val="18"/>
                <w:szCs w:val="24"/>
                <w:lang w:val="en-US" w:eastAsia="zh-CN" w:bidi="ar-SA"/>
              </w:rPr>
            </w:pPr>
            <w:r>
              <w:t>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rPr>
                <w:color w:val="auto"/>
                <w:highlight w:val="none"/>
              </w:rPr>
            </w:pPr>
            <w:r>
              <w:rPr>
                <w:rFonts w:hint="eastAsia"/>
                <w:color w:val="auto"/>
                <w:highlight w:val="none"/>
                <w:lang w:val="en-US" w:eastAsia="zh-CN"/>
              </w:rPr>
              <w:t xml:space="preserve">ATG BS to </w:t>
            </w:r>
            <w:r>
              <w:rPr>
                <w:color w:val="auto"/>
                <w:highlight w:val="none"/>
              </w:rPr>
              <w:t>UE pathloss model</w:t>
            </w:r>
          </w:p>
        </w:tc>
        <w:tc>
          <w:tcPr>
            <w:tcW w:w="2225" w:type="dxa"/>
            <w:tcMar>
              <w:top w:w="28" w:type="dxa"/>
              <w:bottom w:w="28" w:type="dxa"/>
            </w:tcMar>
            <w:vAlign w:val="center"/>
          </w:tcPr>
          <w:p>
            <w:pPr>
              <w:pStyle w:val="35"/>
              <w:spacing w:after="20"/>
              <w:jc w:val="left"/>
              <w:rPr>
                <w:rFonts w:hint="eastAsia" w:eastAsia="宋体"/>
                <w:color w:val="auto"/>
                <w:highlight w:val="none"/>
                <w:lang w:val="en-US" w:eastAsia="zh-CN"/>
              </w:rPr>
            </w:pPr>
            <w:r>
              <w:rPr>
                <w:color w:val="auto"/>
                <w:highlight w:val="none"/>
              </w:rPr>
              <w:t>See section 2.5.</w:t>
            </w:r>
            <w:r>
              <w:rPr>
                <w:rFonts w:hint="eastAsia" w:eastAsia="宋体"/>
                <w:color w:val="auto"/>
                <w:highlight w:val="none"/>
                <w:lang w:val="en-US" w:eastAsia="zh-CN"/>
              </w:rPr>
              <w:t>1</w:t>
            </w:r>
          </w:p>
        </w:tc>
        <w:tc>
          <w:tcPr>
            <w:tcW w:w="2225" w:type="dxa"/>
            <w:tcMar>
              <w:top w:w="28" w:type="dxa"/>
              <w:bottom w:w="28" w:type="dxa"/>
            </w:tcMar>
            <w:vAlign w:val="center"/>
          </w:tcPr>
          <w:p>
            <w:pPr>
              <w:pStyle w:val="35"/>
              <w:spacing w:after="20"/>
              <w:jc w:val="left"/>
              <w:rPr>
                <w:rFonts w:ascii="Arial" w:hAnsi="Arial" w:eastAsiaTheme="minorEastAsia" w:cstheme="minorBidi"/>
                <w:color w:val="auto"/>
                <w:kern w:val="2"/>
                <w:sz w:val="18"/>
                <w:szCs w:val="24"/>
                <w:highlight w:val="none"/>
                <w:lang w:val="en-US" w:eastAsia="zh-CN" w:bidi="ar-SA"/>
              </w:rPr>
            </w:pPr>
            <w:r>
              <w:rPr>
                <w:color w:val="auto"/>
                <w:highlight w:val="none"/>
              </w:rPr>
              <w:t>See section 2.5.</w:t>
            </w:r>
            <w:r>
              <w:rPr>
                <w:rFonts w:hint="eastAsia" w:eastAsia="宋体"/>
                <w:color w:val="auto"/>
                <w:highlight w:val="none"/>
                <w:lang w:val="en-US" w:eastAsia="zh-CN"/>
              </w:rPr>
              <w:t>1</w:t>
            </w:r>
          </w:p>
        </w:tc>
        <w:tc>
          <w:tcPr>
            <w:tcW w:w="2225" w:type="dxa"/>
            <w:tcMar>
              <w:top w:w="28" w:type="dxa"/>
              <w:bottom w:w="28" w:type="dxa"/>
            </w:tcMar>
            <w:vAlign w:val="center"/>
          </w:tcPr>
          <w:p>
            <w:pPr>
              <w:pStyle w:val="35"/>
              <w:spacing w:after="20"/>
              <w:jc w:val="left"/>
              <w:rPr>
                <w:color w:val="auto"/>
                <w:highlight w:val="none"/>
              </w:rPr>
            </w:pPr>
            <w:r>
              <w:rPr>
                <w:color w:val="auto"/>
                <w:highlight w:val="none"/>
              </w:rPr>
              <w:t>See section 2.5.</w:t>
            </w:r>
            <w:r>
              <w:rPr>
                <w:rFonts w:hint="eastAsia" w:eastAsia="宋体"/>
                <w:color w:val="auto"/>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Mar>
              <w:top w:w="28" w:type="dxa"/>
              <w:bottom w:w="28" w:type="dxa"/>
            </w:tcMar>
            <w:vAlign w:val="center"/>
          </w:tcPr>
          <w:p>
            <w:pPr>
              <w:pStyle w:val="35"/>
              <w:spacing w:after="20"/>
              <w:jc w:val="left"/>
              <w:rPr>
                <w:color w:val="auto"/>
                <w:highlight w:val="none"/>
              </w:rPr>
            </w:pPr>
            <w:r>
              <w:rPr>
                <w:rFonts w:hint="eastAsia"/>
                <w:color w:val="auto"/>
                <w:highlight w:val="none"/>
                <w:lang w:val="en-US" w:eastAsia="zh-CN"/>
              </w:rPr>
              <w:t>ATG</w:t>
            </w:r>
            <w:r>
              <w:rPr>
                <w:color w:val="auto"/>
                <w:highlight w:val="none"/>
              </w:rPr>
              <w:t xml:space="preserve"> UE assumption</w:t>
            </w:r>
          </w:p>
        </w:tc>
        <w:tc>
          <w:tcPr>
            <w:tcW w:w="2225" w:type="dxa"/>
            <w:tcMar>
              <w:top w:w="28" w:type="dxa"/>
              <w:bottom w:w="28" w:type="dxa"/>
            </w:tcMar>
            <w:vAlign w:val="center"/>
          </w:tcPr>
          <w:p>
            <w:pPr>
              <w:pStyle w:val="35"/>
              <w:spacing w:after="20"/>
              <w:jc w:val="left"/>
              <w:rPr>
                <w:color w:val="auto"/>
                <w:highlight w:val="none"/>
              </w:rPr>
            </w:pPr>
            <w:r>
              <w:rPr>
                <w:rFonts w:hint="eastAsia"/>
                <w:color w:val="auto"/>
                <w:highlight w:val="none"/>
                <w:lang w:val="en-US" w:eastAsia="zh-CN"/>
              </w:rPr>
              <w:t>See section</w:t>
            </w:r>
            <w:r>
              <w:rPr>
                <w:color w:val="auto"/>
                <w:highlight w:val="none"/>
              </w:rPr>
              <w:t xml:space="preserve"> </w:t>
            </w:r>
            <w:r>
              <w:rPr>
                <w:rFonts w:cs="Arial"/>
                <w:color w:val="auto"/>
                <w:highlight w:val="none"/>
              </w:rPr>
              <w:t>2.2.2</w:t>
            </w:r>
          </w:p>
        </w:tc>
        <w:tc>
          <w:tcPr>
            <w:tcW w:w="2225" w:type="dxa"/>
            <w:tcMar>
              <w:top w:w="28" w:type="dxa"/>
              <w:bottom w:w="28" w:type="dxa"/>
            </w:tcMar>
            <w:vAlign w:val="center"/>
          </w:tcPr>
          <w:p>
            <w:pPr>
              <w:pStyle w:val="35"/>
              <w:spacing w:after="20"/>
              <w:jc w:val="left"/>
              <w:rPr>
                <w:rFonts w:ascii="Arial" w:hAnsi="Arial" w:eastAsiaTheme="minorEastAsia" w:cstheme="minorBidi"/>
                <w:color w:val="auto"/>
                <w:kern w:val="2"/>
                <w:sz w:val="18"/>
                <w:szCs w:val="24"/>
                <w:highlight w:val="none"/>
                <w:lang w:val="en-US" w:eastAsia="zh-CN" w:bidi="ar-SA"/>
              </w:rPr>
            </w:pPr>
            <w:r>
              <w:rPr>
                <w:rFonts w:hint="eastAsia"/>
                <w:color w:val="auto"/>
                <w:highlight w:val="none"/>
                <w:lang w:val="en-US" w:eastAsia="zh-CN"/>
              </w:rPr>
              <w:t>See section</w:t>
            </w:r>
            <w:r>
              <w:rPr>
                <w:color w:val="auto"/>
                <w:highlight w:val="none"/>
              </w:rPr>
              <w:t xml:space="preserve"> </w:t>
            </w:r>
            <w:r>
              <w:rPr>
                <w:rFonts w:cs="Arial"/>
                <w:color w:val="auto"/>
                <w:highlight w:val="none"/>
              </w:rPr>
              <w:t>2.2.2</w:t>
            </w:r>
          </w:p>
        </w:tc>
        <w:tc>
          <w:tcPr>
            <w:tcW w:w="2225" w:type="dxa"/>
            <w:tcMar>
              <w:top w:w="28" w:type="dxa"/>
              <w:bottom w:w="28" w:type="dxa"/>
            </w:tcMar>
            <w:vAlign w:val="center"/>
          </w:tcPr>
          <w:p>
            <w:pPr>
              <w:pStyle w:val="35"/>
              <w:spacing w:after="20"/>
              <w:jc w:val="left"/>
              <w:rPr>
                <w:color w:val="auto"/>
                <w:highlight w:val="none"/>
              </w:rPr>
            </w:pPr>
            <w:r>
              <w:rPr>
                <w:rFonts w:hint="eastAsia"/>
                <w:color w:val="auto"/>
                <w:highlight w:val="none"/>
                <w:lang w:val="en-US" w:eastAsia="zh-CN"/>
              </w:rPr>
              <w:t>See section</w:t>
            </w:r>
            <w:r>
              <w:rPr>
                <w:color w:val="auto"/>
                <w:highlight w:val="none"/>
              </w:rPr>
              <w:t xml:space="preserve"> </w:t>
            </w:r>
            <w:r>
              <w:rPr>
                <w:rFonts w:cs="Arial"/>
                <w:color w:val="auto"/>
                <w:highlight w:val="none"/>
              </w:rPr>
              <w:t>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0" w:type="dxa"/>
            <w:gridSpan w:val="4"/>
            <w:tcMar>
              <w:top w:w="28" w:type="dxa"/>
              <w:bottom w:w="28" w:type="dxa"/>
            </w:tcMar>
            <w:vAlign w:val="center"/>
          </w:tcPr>
          <w:p>
            <w:pPr>
              <w:pStyle w:val="47"/>
              <w:rPr>
                <w:rFonts w:hint="eastAsia"/>
                <w:lang w:val="en-US" w:eastAsia="zh-CN"/>
              </w:rPr>
            </w:pPr>
            <w:r>
              <w:t>NOTE 1:</w:t>
            </w:r>
            <w:r>
              <w:rPr>
                <w:rFonts w:eastAsia="等线"/>
                <w:lang w:eastAsia="zh-CN"/>
              </w:rPr>
              <w:t xml:space="preserve"> </w:t>
            </w:r>
            <w:r>
              <w:rPr>
                <w:rFonts w:eastAsia="等线"/>
                <w:lang w:eastAsia="zh-CN"/>
              </w:rPr>
              <w:tab/>
            </w:r>
            <w:r>
              <w:rPr>
                <w:rFonts w:hint="eastAsia" w:eastAsia="等线"/>
                <w:lang w:val="en-US" w:eastAsia="zh-CN"/>
              </w:rPr>
              <w:t>ATG BS</w:t>
            </w:r>
            <w:r>
              <w:t xml:space="preserve"> is assumed to serve UEs in the rural environment</w:t>
            </w:r>
            <w:r>
              <w:rPr>
                <w:rFonts w:hint="eastAsia"/>
                <w:lang w:val="en-US" w:eastAsia="zh-CN"/>
              </w:rPr>
              <w:t>.</w:t>
            </w:r>
          </w:p>
          <w:p>
            <w:pPr>
              <w:pStyle w:val="47"/>
              <w:rPr>
                <w:rFonts w:hint="default"/>
                <w:lang w:val="en-US" w:eastAsia="zh-CN"/>
              </w:rPr>
            </w:pPr>
            <w:r>
              <w:rPr>
                <w:rFonts w:hint="eastAsia"/>
                <w:lang w:val="en-US" w:eastAsia="zh-CN"/>
              </w:rPr>
              <w:t>NOTE 2:  Regarding the low boundary for ATG CPE operation, we prefer to keep it open until we got some concrete evaluation results.</w:t>
            </w:r>
          </w:p>
        </w:tc>
      </w:tr>
    </w:tbl>
    <w:p/>
    <w:p>
      <w:pPr>
        <w:spacing w:after="0"/>
        <w:jc w:val="left"/>
        <w:rPr>
          <w:rFonts w:hint="eastAsia" w:eastAsia="宋体"/>
          <w:sz w:val="22"/>
          <w:lang w:val="en-US" w:eastAsia="zh-CN"/>
        </w:rPr>
      </w:pPr>
      <w:r>
        <w:rPr>
          <w:rFonts w:hint="eastAsia" w:eastAsia="宋体"/>
          <w:sz w:val="22"/>
          <w:lang w:val="en-US" w:eastAsia="zh-CN"/>
        </w:rPr>
        <w:t xml:space="preserve">As shown in the following figure, </w:t>
      </w:r>
      <w:r>
        <w:rPr>
          <w:rFonts w:hint="eastAsia"/>
          <w:sz w:val="22"/>
          <w:lang w:val="en-US" w:eastAsia="zh-CN"/>
        </w:rPr>
        <w:t>only single ATG UE is supposed to be served by the ATG BS. And for the simplification of coexistence study of ATG network, ATG UE is supposed to be moving in the line of ATG BS deployment as shown in following Figure 2.2.1-1.</w:t>
      </w:r>
    </w:p>
    <w:p>
      <w:r>
        <w:drawing>
          <wp:inline distT="0" distB="0" distL="114300" distR="114300">
            <wp:extent cx="6188075" cy="1739265"/>
            <wp:effectExtent l="0" t="0" r="3175" b="133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5"/>
                    <a:stretch>
                      <a:fillRect/>
                    </a:stretch>
                  </pic:blipFill>
                  <pic:spPr>
                    <a:xfrm>
                      <a:off x="0" y="0"/>
                      <a:ext cx="6188075" cy="1739265"/>
                    </a:xfrm>
                    <a:prstGeom prst="rect">
                      <a:avLst/>
                    </a:prstGeom>
                    <a:noFill/>
                    <a:ln>
                      <a:noFill/>
                    </a:ln>
                  </pic:spPr>
                </pic:pic>
              </a:graphicData>
            </a:graphic>
          </wp:inline>
        </w:drawing>
      </w:r>
    </w:p>
    <w:p/>
    <w:p>
      <w:pPr>
        <w:jc w:val="center"/>
        <w:rPr>
          <w:rFonts w:hint="eastAsia"/>
          <w:b/>
          <w:bCs/>
          <w:color w:val="auto"/>
          <w:lang w:val="en-US" w:eastAsia="zh-CN"/>
        </w:rPr>
      </w:pPr>
      <w:r>
        <w:rPr>
          <w:rFonts w:hint="eastAsia"/>
          <w:b/>
          <w:bCs/>
          <w:lang w:val="en-US" w:eastAsia="zh-CN"/>
        </w:rPr>
        <w:t>Figure 2.2.1-1 ATG network coexisting with terrest</w:t>
      </w:r>
      <w:r>
        <w:rPr>
          <w:rFonts w:hint="eastAsia"/>
          <w:b/>
          <w:bCs/>
          <w:color w:val="auto"/>
          <w:lang w:val="en-US" w:eastAsia="zh-CN"/>
        </w:rPr>
        <w:t>rial network [Rural area]</w:t>
      </w:r>
    </w:p>
    <w:p>
      <w:pPr>
        <w:jc w:val="center"/>
        <w:rPr>
          <w:rFonts w:hint="eastAsia"/>
          <w:b/>
          <w:bCs/>
          <w:color w:val="auto"/>
          <w:lang w:val="en-US" w:eastAsia="zh-CN"/>
        </w:rPr>
      </w:pPr>
    </w:p>
    <w:p>
      <w:pPr>
        <w:spacing w:after="0" w:afterLines="-2147483648"/>
        <w:jc w:val="left"/>
        <w:rPr>
          <w:rFonts w:hint="default"/>
          <w:b w:val="0"/>
          <w:sz w:val="22"/>
          <w:lang w:val="en-US" w:eastAsia="zh-CN"/>
        </w:rPr>
      </w:pPr>
      <w:r>
        <w:rPr>
          <w:rFonts w:hint="eastAsia"/>
          <w:b w:val="0"/>
          <w:bCs w:val="0"/>
          <w:sz w:val="22"/>
          <w:lang w:val="en-US" w:eastAsia="zh-CN"/>
        </w:rPr>
        <w:t>During the last RAN4 meeting, there were some initial discussions on ATG network layout. In general, ATG network are deployed on the airline routes to provide the service and its ISD of ATG network is quite large compared with TN BS ISD (e.g. 7.5km) in rural area, therefore we don’t see the necessity of considering the multiple ATG BS in the large area in the same coexistence evaluation. In addition, regarding how to drop the TN cluster into the ATG network layout, from our understanding, option 1 should be most stringent scenario to check its impact from adjacent channel.</w:t>
      </w:r>
    </w:p>
    <w:p>
      <w:pPr>
        <w:spacing w:after="120" w:afterLines="50"/>
        <w:rPr>
          <w:b/>
          <w:color w:val="auto"/>
          <w:highlight w:val="none"/>
          <w:lang w:eastAsia="zh-CN"/>
        </w:rPr>
      </w:pPr>
      <w:r>
        <w:rPr>
          <w:b/>
          <w:color w:val="auto"/>
          <w:highlight w:val="none"/>
          <w:lang w:eastAsia="zh-CN"/>
        </w:rPr>
        <w:t>&lt;Way forward 10&gt;: Potential assumption for network layout of ATG.</w:t>
      </w:r>
    </w:p>
    <w:p>
      <w:pPr>
        <w:numPr>
          <w:ilvl w:val="0"/>
          <w:numId w:val="3"/>
        </w:numPr>
        <w:spacing w:after="120" w:afterLines="50"/>
        <w:rPr>
          <w:color w:val="auto"/>
          <w:highlight w:val="none"/>
          <w:lang w:eastAsia="zh-CN"/>
        </w:rPr>
      </w:pPr>
      <w:r>
        <w:rPr>
          <w:color w:val="auto"/>
          <w:highlight w:val="none"/>
          <w:lang w:eastAsia="zh-CN"/>
        </w:rPr>
        <w:t>Option 1: ATG network can be deployed on the airline routes.</w:t>
      </w:r>
    </w:p>
    <w:p>
      <w:pPr>
        <w:numPr>
          <w:ilvl w:val="0"/>
          <w:numId w:val="3"/>
        </w:numPr>
        <w:spacing w:after="120" w:afterLines="50"/>
        <w:rPr>
          <w:color w:val="auto"/>
          <w:highlight w:val="none"/>
          <w:lang w:eastAsia="zh-CN"/>
        </w:rPr>
      </w:pPr>
      <w:r>
        <w:rPr>
          <w:color w:val="auto"/>
          <w:highlight w:val="none"/>
          <w:lang w:eastAsia="zh-CN"/>
        </w:rPr>
        <w:t>Option 2: ATG network can be deployed in larger area</w:t>
      </w:r>
    </w:p>
    <w:p>
      <w:pPr>
        <w:spacing w:after="120" w:afterLines="50"/>
        <w:rPr>
          <w:rFonts w:hint="eastAsia"/>
          <w:color w:val="auto"/>
          <w:highlight w:val="none"/>
          <w:lang w:eastAsia="zh-CN"/>
        </w:rPr>
      </w:pPr>
    </w:p>
    <w:p>
      <w:pPr>
        <w:spacing w:after="120" w:afterLines="50"/>
        <w:rPr>
          <w:b/>
          <w:color w:val="auto"/>
          <w:highlight w:val="none"/>
          <w:lang w:eastAsia="zh-CN"/>
        </w:rPr>
      </w:pPr>
      <w:r>
        <w:rPr>
          <w:b/>
          <w:color w:val="auto"/>
          <w:highlight w:val="none"/>
          <w:lang w:eastAsia="zh-CN"/>
        </w:rPr>
        <w:t>&lt;Way forward 11&gt;: The assumption for network layout of NR terrestrial network</w:t>
      </w:r>
    </w:p>
    <w:p>
      <w:pPr>
        <w:numPr>
          <w:ilvl w:val="0"/>
          <w:numId w:val="3"/>
        </w:numPr>
        <w:spacing w:after="120" w:afterLines="50"/>
        <w:rPr>
          <w:color w:val="auto"/>
          <w:highlight w:val="none"/>
          <w:lang w:eastAsia="zh-CN"/>
        </w:rPr>
      </w:pPr>
      <w:r>
        <w:rPr>
          <w:color w:val="auto"/>
          <w:highlight w:val="none"/>
          <w:lang w:eastAsia="zh-CN"/>
        </w:rPr>
        <w:t>19-sites 57 sectors with wrap-around can be assumed.</w:t>
      </w:r>
    </w:p>
    <w:p>
      <w:pPr>
        <w:numPr>
          <w:ilvl w:val="0"/>
          <w:numId w:val="3"/>
        </w:numPr>
        <w:spacing w:after="120" w:afterLines="50"/>
        <w:rPr>
          <w:color w:val="auto"/>
          <w:highlight w:val="none"/>
          <w:lang w:eastAsia="zh-CN"/>
        </w:rPr>
      </w:pPr>
      <w:r>
        <w:rPr>
          <w:color w:val="auto"/>
          <w:highlight w:val="none"/>
          <w:lang w:eastAsia="zh-CN"/>
        </w:rPr>
        <w:t>FFS how to drop the TN cluster.</w:t>
      </w:r>
    </w:p>
    <w:p>
      <w:pPr>
        <w:numPr>
          <w:ilvl w:val="1"/>
          <w:numId w:val="3"/>
        </w:numPr>
        <w:spacing w:after="120" w:afterLines="50"/>
        <w:rPr>
          <w:color w:val="auto"/>
          <w:highlight w:val="none"/>
          <w:lang w:eastAsia="zh-CN"/>
        </w:rPr>
      </w:pPr>
      <w:r>
        <w:rPr>
          <w:color w:val="auto"/>
          <w:highlight w:val="none"/>
          <w:lang w:eastAsia="zh-CN"/>
        </w:rPr>
        <w:t>Option 1: drop TN clusters close to ATG BS</w:t>
      </w:r>
    </w:p>
    <w:p>
      <w:pPr>
        <w:numPr>
          <w:ilvl w:val="1"/>
          <w:numId w:val="3"/>
        </w:numPr>
        <w:spacing w:after="120" w:afterLines="50"/>
        <w:rPr>
          <w:color w:val="auto"/>
          <w:highlight w:val="none"/>
          <w:lang w:eastAsia="zh-CN"/>
        </w:rPr>
      </w:pPr>
      <w:r>
        <w:rPr>
          <w:color w:val="auto"/>
          <w:highlight w:val="none"/>
          <w:lang w:eastAsia="zh-CN"/>
        </w:rPr>
        <w:t>Option 2: Dropping clusters of TN cells randomly</w:t>
      </w:r>
    </w:p>
    <w:p/>
    <w:p>
      <w:pPr>
        <w:rPr>
          <w:rFonts w:hint="default"/>
          <w:lang w:val="en-US"/>
        </w:rPr>
      </w:pPr>
      <w:r>
        <w:rPr>
          <w:rFonts w:hint="eastAsia" w:cs="Times New Roman"/>
          <w:b/>
          <w:bCs/>
          <w:sz w:val="22"/>
          <w:szCs w:val="22"/>
          <w:lang w:val="en-US" w:eastAsia="zh-CN"/>
        </w:rPr>
        <w:t>Proposal 2</w:t>
      </w:r>
      <w:r>
        <w:rPr>
          <w:rFonts w:hint="eastAsia" w:cs="Times New Roman"/>
          <w:sz w:val="22"/>
          <w:szCs w:val="22"/>
          <w:lang w:val="en-US" w:eastAsia="zh-CN"/>
        </w:rPr>
        <w:t>: to consider the option 1 for ATG network layout and option 1 to drop the TN cluster.</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11" w:name="_Toc104210155"/>
      <w:bookmarkStart w:id="12" w:name="_Toc94170345"/>
      <w:bookmarkStart w:id="13" w:name="_Toc104122349"/>
      <w:bookmarkStart w:id="14" w:name="_Toc104502867"/>
      <w:r>
        <w:rPr>
          <w:rFonts w:cs="Arial"/>
          <w:b w:val="0"/>
          <w:bCs w:val="0"/>
        </w:rPr>
        <w:t>2.2.2</w:t>
      </w:r>
      <w:r>
        <w:rPr>
          <w:rFonts w:cs="Arial"/>
          <w:b w:val="0"/>
          <w:bCs w:val="0"/>
        </w:rPr>
        <w:tab/>
      </w:r>
      <w:r>
        <w:rPr>
          <w:rFonts w:hint="eastAsia" w:cs="Arial"/>
          <w:b w:val="0"/>
          <w:bCs w:val="0"/>
          <w:lang w:val="en-US" w:eastAsia="zh-CN"/>
        </w:rPr>
        <w:t>ATG</w:t>
      </w:r>
      <w:r>
        <w:rPr>
          <w:rFonts w:cs="Arial"/>
          <w:b w:val="0"/>
          <w:bCs w:val="0"/>
        </w:rPr>
        <w:t xml:space="preserve"> UE parameters</w:t>
      </w:r>
      <w:bookmarkEnd w:id="10"/>
      <w:bookmarkEnd w:id="11"/>
      <w:bookmarkEnd w:id="12"/>
      <w:bookmarkEnd w:id="13"/>
      <w:bookmarkEnd w:id="14"/>
    </w:p>
    <w:p>
      <w:pPr>
        <w:spacing w:after="120"/>
        <w:rPr>
          <w:rFonts w:hint="eastAsia" w:eastAsia="宋体"/>
          <w:lang w:val="en-US" w:eastAsia="zh-CN"/>
        </w:rPr>
      </w:pPr>
      <w:r>
        <w:rPr>
          <w:rFonts w:hint="eastAsia" w:eastAsia="宋体"/>
          <w:lang w:val="en-US" w:eastAsia="zh-CN"/>
        </w:rPr>
        <w:t>ATG UE parameters are given in Table 2.2.2-1</w:t>
      </w:r>
    </w:p>
    <w:p>
      <w:pPr>
        <w:autoSpaceDE/>
        <w:autoSpaceDN/>
        <w:adjustRightInd/>
        <w:snapToGrid/>
        <w:spacing w:before="0" w:beforeLines="-2147483648" w:after="0" w:afterLines="-2147483648" w:line="240" w:lineRule="auto"/>
        <w:jc w:val="center"/>
        <w:rPr>
          <w:rFonts w:hint="eastAsia"/>
          <w:b/>
          <w:bCs/>
          <w:sz w:val="20"/>
          <w:lang w:val="zh-CN" w:eastAsia="zh-CN"/>
        </w:rPr>
      </w:pPr>
      <w:r>
        <w:rPr>
          <w:rFonts w:hint="eastAsia"/>
          <w:b/>
          <w:bCs/>
          <w:sz w:val="20"/>
          <w:lang w:val="zh-CN" w:eastAsia="zh-CN"/>
        </w:rPr>
        <w:t>Table</w:t>
      </w:r>
      <w:r>
        <w:rPr>
          <w:rFonts w:hint="eastAsia"/>
          <w:b/>
          <w:bCs/>
          <w:sz w:val="20"/>
          <w:lang w:val="en-US" w:eastAsia="zh-CN"/>
        </w:rPr>
        <w:t xml:space="preserve"> </w:t>
      </w:r>
      <w:r>
        <w:rPr>
          <w:rFonts w:hint="eastAsia"/>
          <w:b/>
          <w:bCs/>
          <w:sz w:val="20"/>
          <w:lang w:val="zh-CN" w:eastAsia="zh-CN"/>
        </w:rPr>
        <w:t xml:space="preserve">2.2.2-1: </w:t>
      </w:r>
      <w:r>
        <w:rPr>
          <w:rFonts w:hint="eastAsia"/>
          <w:b/>
          <w:bCs/>
          <w:sz w:val="20"/>
          <w:lang w:val="en-US" w:eastAsia="zh-CN"/>
        </w:rPr>
        <w:t xml:space="preserve">ATG </w:t>
      </w:r>
      <w:r>
        <w:rPr>
          <w:rFonts w:hint="eastAsia"/>
          <w:b/>
          <w:bCs/>
          <w:sz w:val="20"/>
          <w:lang w:val="zh-CN" w:eastAsia="zh-CN"/>
        </w:rPr>
        <w:t>UE characteristics for system level simulations</w:t>
      </w:r>
    </w:p>
    <w:tbl>
      <w:tblPr>
        <w:tblStyle w:val="2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2"/>
        <w:gridCol w:w="3600"/>
        <w:gridCol w:w="3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4"/>
            </w:pPr>
            <w:r>
              <w:t>Characteristics</w:t>
            </w:r>
          </w:p>
        </w:tc>
        <w:tc>
          <w:tcPr>
            <w:tcW w:w="1808" w:type="pct"/>
            <w:shd w:val="clear" w:color="auto" w:fill="auto"/>
          </w:tcPr>
          <w:p>
            <w:pPr>
              <w:pStyle w:val="34"/>
              <w:jc w:val="center"/>
              <w:rPr>
                <w:rFonts w:hint="default" w:eastAsiaTheme="minorEastAsia"/>
                <w:lang w:val="en-US" w:eastAsia="zh-CN"/>
              </w:rPr>
            </w:pPr>
            <w:r>
              <w:rPr>
                <w:rFonts w:hint="eastAsia"/>
                <w:lang w:val="en-US" w:eastAsia="zh-CN"/>
              </w:rPr>
              <w:t>CPE</w:t>
            </w:r>
          </w:p>
        </w:tc>
        <w:tc>
          <w:tcPr>
            <w:tcW w:w="1809" w:type="pct"/>
            <w:shd w:val="clear" w:color="auto" w:fill="auto"/>
            <w:vAlign w:val="top"/>
          </w:tcPr>
          <w:p>
            <w:pPr>
              <w:pStyle w:val="34"/>
              <w:jc w:val="center"/>
              <w:rPr>
                <w:rFonts w:hint="default" w:ascii="Arial" w:hAnsi="Arial" w:eastAsiaTheme="minorEastAsia" w:cstheme="minorBidi"/>
                <w:b/>
                <w:kern w:val="2"/>
                <w:sz w:val="18"/>
                <w:szCs w:val="24"/>
                <w:lang w:val="en-US" w:eastAsia="zh-CN" w:bidi="ar-SA"/>
              </w:rPr>
            </w:pPr>
            <w:r>
              <w:rPr>
                <w:rFonts w:hint="eastAsia"/>
                <w:lang w:val="en-US" w:eastAsia="zh-CN"/>
              </w:rPr>
              <w:t>CPE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pPr>
            <w:r>
              <w:t>Frequency band</w:t>
            </w:r>
          </w:p>
        </w:tc>
        <w:tc>
          <w:tcPr>
            <w:tcW w:w="1808" w:type="pct"/>
            <w:shd w:val="clear" w:color="auto" w:fill="auto"/>
          </w:tcPr>
          <w:p>
            <w:pPr>
              <w:pStyle w:val="36"/>
              <w:rPr>
                <w:rFonts w:hint="default" w:eastAsiaTheme="minorEastAsia"/>
                <w:lang w:val="en-US" w:eastAsia="zh-CN"/>
              </w:rPr>
            </w:pPr>
            <w:r>
              <w:rPr>
                <w:rFonts w:hint="eastAsia"/>
                <w:lang w:val="en-US" w:eastAsia="zh-CN"/>
              </w:rPr>
              <w:t xml:space="preserve">2.1GHz </w:t>
            </w:r>
          </w:p>
        </w:tc>
        <w:tc>
          <w:tcPr>
            <w:tcW w:w="1809" w:type="pct"/>
            <w:shd w:val="clear" w:color="auto" w:fill="auto"/>
            <w:vAlign w:val="top"/>
          </w:tcPr>
          <w:p>
            <w:pPr>
              <w:pStyle w:val="36"/>
              <w:rPr>
                <w:rFonts w:hint="default" w:ascii="Arial" w:hAnsi="Arial" w:eastAsiaTheme="minorEastAsia" w:cstheme="minorBidi"/>
                <w:kern w:val="2"/>
                <w:sz w:val="18"/>
                <w:szCs w:val="24"/>
                <w:lang w:val="en-US" w:eastAsia="zh-CN" w:bidi="ar-SA"/>
              </w:rPr>
            </w:pPr>
            <w:r>
              <w:rPr>
                <w:rFonts w:hint="eastAsia" w:cstheme="minorBidi"/>
                <w:kern w:val="2"/>
                <w:sz w:val="18"/>
                <w:szCs w:val="24"/>
                <w:lang w:val="en-US" w:eastAsia="zh-CN" w:bidi="ar-SA"/>
              </w:rPr>
              <w:t>3.5GHz and 4.9GHz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Antenna type and configuration</w:t>
            </w:r>
          </w:p>
        </w:tc>
        <w:tc>
          <w:tcPr>
            <w:tcW w:w="1808" w:type="pct"/>
            <w:shd w:val="clear" w:color="auto" w:fill="auto"/>
          </w:tcPr>
          <w:p>
            <w:pPr>
              <w:pStyle w:val="36"/>
              <w:rPr>
                <w:rFonts w:hint="default"/>
                <w:color w:val="auto"/>
                <w:lang w:val="en-US" w:eastAsia="zh-CN"/>
              </w:rPr>
            </w:pPr>
            <w:r>
              <w:rPr>
                <w:rFonts w:hint="eastAsia"/>
                <w:color w:val="auto"/>
                <w:lang w:val="en-US" w:eastAsia="zh-CN"/>
              </w:rPr>
              <w:t>Omini antenna assumption</w:t>
            </w:r>
          </w:p>
        </w:tc>
        <w:tc>
          <w:tcPr>
            <w:tcW w:w="1809" w:type="pct"/>
            <w:shd w:val="clear" w:color="auto" w:fill="auto"/>
            <w:vAlign w:val="top"/>
          </w:tcPr>
          <w:p>
            <w:pPr>
              <w:pStyle w:val="36"/>
              <w:rPr>
                <w:rFonts w:hint="default" w:eastAsiaTheme="minorEastAsia"/>
                <w:color w:val="auto"/>
                <w:lang w:val="en-US" w:eastAsia="zh-CN"/>
              </w:rPr>
            </w:pPr>
            <w:r>
              <w:rPr>
                <w:rFonts w:hint="eastAsia"/>
                <w:color w:val="auto"/>
                <w:lang w:val="en-US" w:eastAsia="zh-CN"/>
              </w:rPr>
              <w:t xml:space="preserve">Antenna array assumption : (Note 1) </w:t>
            </w:r>
          </w:p>
          <w:p>
            <w:pPr>
              <w:pStyle w:val="36"/>
              <w:rPr>
                <w:rFonts w:hint="default"/>
                <w:color w:val="auto"/>
                <w:lang w:val="en-US" w:eastAsia="zh-CN"/>
              </w:rPr>
            </w:pPr>
            <w:r>
              <w:rPr>
                <w:rFonts w:hint="eastAsia"/>
                <w:color w:val="auto"/>
                <w:lang w:val="en-US" w:eastAsia="zh-CN"/>
              </w:rPr>
              <w:t xml:space="preserve"> (8x2x2) or  (16x1x2)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Polarisation</w:t>
            </w:r>
          </w:p>
        </w:tc>
        <w:tc>
          <w:tcPr>
            <w:tcW w:w="1808" w:type="pct"/>
            <w:shd w:val="clear" w:color="auto" w:fill="auto"/>
          </w:tcPr>
          <w:p>
            <w:pPr>
              <w:pStyle w:val="36"/>
              <w:rPr>
                <w:color w:val="auto"/>
              </w:rPr>
            </w:pPr>
            <w:r>
              <w:rPr>
                <w:color w:val="auto"/>
              </w:rPr>
              <w:t>Linear: +/-</w:t>
            </w:r>
            <w:r>
              <w:rPr>
                <w:rFonts w:hint="eastAsia"/>
                <w:color w:val="auto"/>
                <w:lang w:val="en-US" w:eastAsia="zh-CN"/>
              </w:rPr>
              <w:t>90</w:t>
            </w:r>
            <w:r>
              <w:rPr>
                <w:color w:val="auto"/>
              </w:rPr>
              <w:t>°X-pol</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color w:val="auto"/>
              </w:rPr>
              <w:t>Linear: +/-</w:t>
            </w:r>
            <w:r>
              <w:rPr>
                <w:rFonts w:hint="eastAsia"/>
                <w:color w:val="auto"/>
                <w:lang w:val="en-US" w:eastAsia="zh-CN"/>
              </w:rPr>
              <w:t>90</w:t>
            </w:r>
            <w:r>
              <w:rPr>
                <w:color w:val="auto"/>
              </w:rPr>
              <w:t>°X-pol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 xml:space="preserve">Rx Antenna gain </w:t>
            </w:r>
          </w:p>
        </w:tc>
        <w:tc>
          <w:tcPr>
            <w:tcW w:w="1808" w:type="pct"/>
            <w:shd w:val="clear" w:color="auto" w:fill="auto"/>
          </w:tcPr>
          <w:p>
            <w:pPr>
              <w:pStyle w:val="36"/>
              <w:rPr>
                <w:rFonts w:hint="default"/>
                <w:color w:val="auto"/>
                <w:lang w:val="en-US"/>
              </w:rPr>
            </w:pPr>
            <w:r>
              <w:rPr>
                <w:rFonts w:hint="eastAsia"/>
                <w:color w:val="auto"/>
                <w:lang w:val="en-US" w:eastAsia="zh-CN"/>
              </w:rPr>
              <w:t>0dBi</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rFonts w:hint="eastAsia"/>
                <w:color w:val="auto"/>
                <w:lang w:val="en-US" w:eastAsia="zh-CN"/>
              </w:rPr>
              <w:t>4-5dBi；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Antenna temperature</w:t>
            </w:r>
          </w:p>
        </w:tc>
        <w:tc>
          <w:tcPr>
            <w:tcW w:w="1808" w:type="pct"/>
            <w:shd w:val="clear" w:color="auto" w:fill="auto"/>
          </w:tcPr>
          <w:p>
            <w:pPr>
              <w:pStyle w:val="36"/>
              <w:rPr>
                <w:color w:val="auto"/>
              </w:rPr>
            </w:pPr>
            <w:r>
              <w:rPr>
                <w:color w:val="auto"/>
              </w:rPr>
              <w:t>290 K</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color w:val="auto"/>
              </w:rPr>
              <w:t>290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Noise figure</w:t>
            </w:r>
          </w:p>
        </w:tc>
        <w:tc>
          <w:tcPr>
            <w:tcW w:w="1808" w:type="pct"/>
            <w:shd w:val="clear" w:color="auto" w:fill="auto"/>
          </w:tcPr>
          <w:p>
            <w:pPr>
              <w:pStyle w:val="36"/>
              <w:rPr>
                <w:color w:val="auto"/>
              </w:rPr>
            </w:pPr>
            <w:r>
              <w:rPr>
                <w:color w:val="auto"/>
              </w:rPr>
              <w:t>9 dB</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color w:val="auto"/>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Tx transmit power</w:t>
            </w:r>
          </w:p>
        </w:tc>
        <w:tc>
          <w:tcPr>
            <w:tcW w:w="1808" w:type="pct"/>
            <w:shd w:val="clear" w:color="auto" w:fill="auto"/>
          </w:tcPr>
          <w:p>
            <w:pPr>
              <w:pStyle w:val="36"/>
              <w:rPr>
                <w:rFonts w:hint="eastAsia"/>
                <w:b w:val="0"/>
                <w:bCs w:val="0"/>
                <w:color w:val="auto"/>
                <w:lang w:val="en-US" w:eastAsia="zh-CN"/>
              </w:rPr>
            </w:pPr>
            <w:r>
              <w:rPr>
                <w:rFonts w:hint="eastAsia"/>
                <w:b w:val="0"/>
                <w:bCs w:val="0"/>
                <w:color w:val="auto"/>
                <w:lang w:val="en-US" w:eastAsia="zh-CN"/>
              </w:rPr>
              <w:t>33dBm per polarization;</w:t>
            </w:r>
          </w:p>
          <w:p>
            <w:pPr>
              <w:pStyle w:val="36"/>
              <w:rPr>
                <w:rFonts w:hint="default"/>
                <w:color w:val="auto"/>
                <w:lang w:val="en-US" w:eastAsia="zh-CN"/>
              </w:rPr>
            </w:pPr>
            <w:r>
              <w:rPr>
                <w:rFonts w:hint="eastAsia"/>
                <w:b w:val="0"/>
                <w:bCs w:val="0"/>
                <w:color w:val="auto"/>
                <w:lang w:val="en-US" w:eastAsia="zh-CN"/>
              </w:rPr>
              <w:t>36dBm for two polarization</w:t>
            </w:r>
            <w:r>
              <w:rPr>
                <w:rFonts w:hint="eastAsia"/>
                <w:b/>
                <w:bCs/>
                <w:color w:val="auto"/>
                <w:lang w:val="en-US" w:eastAsia="zh-CN"/>
              </w:rPr>
              <w:t>;</w:t>
            </w:r>
          </w:p>
        </w:tc>
        <w:tc>
          <w:tcPr>
            <w:tcW w:w="1809" w:type="pct"/>
            <w:shd w:val="clear" w:color="auto" w:fill="auto"/>
            <w:vAlign w:val="top"/>
          </w:tcPr>
          <w:p>
            <w:pPr>
              <w:pStyle w:val="36"/>
              <w:rPr>
                <w:rFonts w:hint="default"/>
                <w:color w:val="auto"/>
                <w:lang w:val="en-US" w:eastAsia="zh-CN"/>
              </w:rPr>
            </w:pPr>
            <w:r>
              <w:rPr>
                <w:rFonts w:hint="eastAsia"/>
                <w:color w:val="auto"/>
                <w:lang w:val="en-US" w:eastAsia="zh-CN"/>
              </w:rPr>
              <w:t xml:space="preserve">26dBm per polarization </w:t>
            </w:r>
          </w:p>
          <w:p>
            <w:pPr>
              <w:pStyle w:val="36"/>
              <w:rPr>
                <w:rFonts w:hint="default"/>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Tx antenna gain</w:t>
            </w:r>
          </w:p>
        </w:tc>
        <w:tc>
          <w:tcPr>
            <w:tcW w:w="1808" w:type="pct"/>
            <w:shd w:val="clear" w:color="auto" w:fill="auto"/>
            <w:vAlign w:val="top"/>
          </w:tcPr>
          <w:p>
            <w:pPr>
              <w:pStyle w:val="36"/>
              <w:rPr>
                <w:rFonts w:hint="default" w:ascii="Arial" w:hAnsi="Arial" w:eastAsiaTheme="minorEastAsia" w:cstheme="minorBidi"/>
                <w:color w:val="auto"/>
                <w:kern w:val="2"/>
                <w:sz w:val="18"/>
                <w:szCs w:val="24"/>
                <w:lang w:val="en-US" w:eastAsia="zh-CN" w:bidi="ar-SA"/>
              </w:rPr>
            </w:pPr>
            <w:r>
              <w:rPr>
                <w:rFonts w:hint="eastAsia"/>
                <w:color w:val="auto"/>
                <w:lang w:val="en-US" w:eastAsia="zh-CN"/>
              </w:rPr>
              <w:t>0dbi</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rFonts w:hint="eastAsia"/>
                <w:color w:val="auto"/>
                <w:lang w:val="en-US" w:eastAsia="zh-CN"/>
              </w:rPr>
              <w:t>4-5dBi；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shd w:val="clear" w:color="auto" w:fill="auto"/>
          </w:tcPr>
          <w:p>
            <w:pPr>
              <w:pStyle w:val="36"/>
              <w:rPr>
                <w:rFonts w:hint="eastAsia"/>
                <w:color w:val="auto"/>
                <w:lang w:val="en-US" w:eastAsia="zh-CN"/>
              </w:rPr>
            </w:pPr>
            <w:r>
              <w:rPr>
                <w:rFonts w:hint="eastAsia"/>
                <w:color w:val="auto"/>
                <w:lang w:val="en-US" w:eastAsia="zh-CN"/>
              </w:rPr>
              <w:t>NOTE 1: 8 or 16 antenna elements are placed along the aircraft moving direction for the ease of the installation.</w:t>
            </w:r>
          </w:p>
        </w:tc>
      </w:tr>
    </w:tbl>
    <w:p/>
    <w:p>
      <w:pPr>
        <w:jc w:val="center"/>
        <w:rPr>
          <w:rFonts w:hint="default"/>
          <w:lang w:val="en-US"/>
        </w:rPr>
      </w:pPr>
      <w:r>
        <w:rPr>
          <w:rFonts w:hint="eastAsia"/>
          <w:b/>
          <w:bCs/>
          <w:sz w:val="20"/>
          <w:lang w:val="zh-CN" w:eastAsia="zh-CN"/>
        </w:rPr>
        <w:t>Table</w:t>
      </w:r>
      <w:r>
        <w:rPr>
          <w:rFonts w:hint="eastAsia"/>
          <w:b/>
          <w:bCs/>
          <w:sz w:val="20"/>
          <w:lang w:val="en-US" w:eastAsia="zh-CN"/>
        </w:rPr>
        <w:t xml:space="preserve"> </w:t>
      </w:r>
      <w:r>
        <w:rPr>
          <w:rFonts w:hint="eastAsia"/>
          <w:b/>
          <w:bCs/>
          <w:sz w:val="20"/>
          <w:lang w:val="zh-CN" w:eastAsia="zh-CN"/>
        </w:rPr>
        <w:t>2.2.2-</w:t>
      </w:r>
      <w:r>
        <w:rPr>
          <w:rFonts w:hint="eastAsia"/>
          <w:b/>
          <w:bCs/>
          <w:sz w:val="20"/>
          <w:lang w:val="en-US" w:eastAsia="zh-CN"/>
        </w:rPr>
        <w:t>2</w:t>
      </w:r>
      <w:r>
        <w:rPr>
          <w:rFonts w:hint="eastAsia"/>
          <w:b/>
          <w:bCs/>
          <w:sz w:val="20"/>
          <w:lang w:val="zh-CN" w:eastAsia="zh-CN"/>
        </w:rPr>
        <w:t xml:space="preserve">: </w:t>
      </w:r>
      <w:r>
        <w:rPr>
          <w:rFonts w:hint="eastAsia"/>
          <w:b/>
          <w:bCs/>
          <w:sz w:val="20"/>
          <w:lang w:val="en-US" w:eastAsia="zh-CN"/>
        </w:rPr>
        <w:t xml:space="preserve">antenna array assumption for ATG </w:t>
      </w:r>
      <w:r>
        <w:rPr>
          <w:rFonts w:hint="eastAsia"/>
          <w:b/>
          <w:bCs/>
          <w:sz w:val="20"/>
          <w:lang w:val="zh-CN" w:eastAsia="zh-CN"/>
        </w:rPr>
        <w:t xml:space="preserve">UE </w:t>
      </w:r>
      <w:r>
        <w:rPr>
          <w:rFonts w:hint="eastAsia"/>
          <w:b/>
          <w:bCs/>
          <w:sz w:val="20"/>
          <w:lang w:val="en-US" w:eastAsia="zh-CN"/>
        </w:rPr>
        <w:t>at 3.5GHz and 4.9GHz</w:t>
      </w:r>
    </w:p>
    <w:tbl>
      <w:tblPr>
        <w:tblStyle w:val="23"/>
        <w:tblW w:w="28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2754"/>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1.3</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3 dB beam width of single element (degree) </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90º for H</w:t>
            </w:r>
          </w:p>
          <w:p>
            <w:pPr>
              <w:pStyle w:val="35"/>
              <w:rPr>
                <w:rFonts w:hint="default" w:eastAsiaTheme="minorEastAsia"/>
                <w:color w:val="auto"/>
                <w:lang w:val="en-US" w:eastAsia="zh-CN"/>
              </w:rPr>
            </w:pPr>
            <w:r>
              <w:rPr>
                <w:rFonts w:hint="eastAsia"/>
                <w:color w:val="auto"/>
                <w:lang w:val="en-US" w:eastAsia="zh-CN"/>
              </w:rPr>
              <w:t>[54</w:t>
            </w:r>
            <w:r>
              <w:rPr>
                <w:color w:val="auto"/>
              </w:rPr>
              <w:t>º</w:t>
            </w:r>
            <w:r>
              <w:rPr>
                <w:rFonts w:hint="eastAsia" w:eastAsia="宋体"/>
                <w:color w:val="auto"/>
                <w:lang w:val="en-US" w:eastAsia="zh-CN"/>
              </w:rPr>
              <w:t>]</w:t>
            </w:r>
            <w:r>
              <w:rPr>
                <w:color w:val="auto"/>
              </w:rPr>
              <w:t xml:space="preserve"> for V</w:t>
            </w:r>
            <w:r>
              <w:rPr>
                <w:rFonts w:hint="eastAsia"/>
                <w:color w:val="auto"/>
                <w:lang w:val="en-US" w:eastAsia="zh-CN"/>
              </w:rPr>
              <w:t xml:space="preserve"> /</w:t>
            </w:r>
            <w:r>
              <w:rPr>
                <w:rFonts w:hint="eastAsia"/>
                <w:color w:val="auto"/>
                <w:highlight w:val="yellow"/>
                <w:lang w:val="en-US" w:eastAsia="zh-CN"/>
              </w:rPr>
              <w:t>[60-70]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1.4</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Horizontal/vertical front</w:t>
            </w:r>
            <w:r>
              <w:noBreakHyphen/>
            </w:r>
            <w:r>
              <w:t>to</w:t>
            </w:r>
            <w:r>
              <w:noBreakHyphen/>
            </w:r>
            <w:r>
              <w:t>back ratio (dB)</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hint="default" w:eastAsiaTheme="minorEastAsia"/>
                <w:color w:val="auto"/>
                <w:lang w:val="en-US" w:eastAsia="zh-CN"/>
              </w:rPr>
            </w:pPr>
            <w:r>
              <w:rPr>
                <w:rFonts w:hint="eastAsia"/>
                <w:color w:val="auto"/>
                <w:lang w:val="en-US" w:eastAsia="zh-CN"/>
              </w:rPr>
              <w:t>30dBc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1.5</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polarization </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Linear ±</w:t>
            </w:r>
            <w:r>
              <w:rPr>
                <w:rFonts w:hint="eastAsia"/>
                <w:color w:val="auto"/>
                <w:lang w:val="en-US" w:eastAsia="zh-CN"/>
              </w:rPr>
              <w:t>90</w:t>
            </w:r>
            <w:r>
              <w:rPr>
                <w:color w:val="auto"/>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1.6</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array configuration (Row × Column) </w:t>
            </w:r>
            <w:r>
              <w:br w:type="textWrapping"/>
            </w:r>
            <w:r>
              <w:rPr>
                <w:vertAlign w:val="superscript"/>
              </w:rPr>
              <w:t>(Note 4)</w:t>
            </w:r>
          </w:p>
        </w:tc>
        <w:tc>
          <w:tcPr>
            <w:tcW w:w="2020" w:type="pct"/>
            <w:tcBorders>
              <w:top w:val="single" w:color="auto" w:sz="4" w:space="0"/>
              <w:left w:val="single" w:color="auto" w:sz="4" w:space="0"/>
              <w:bottom w:val="single" w:color="auto" w:sz="4" w:space="0"/>
            </w:tcBorders>
            <w:shd w:val="clear" w:color="auto" w:fill="auto"/>
            <w:vAlign w:val="center"/>
          </w:tcPr>
          <w:p>
            <w:pPr>
              <w:pStyle w:val="35"/>
              <w:rPr>
                <w:rFonts w:hint="eastAsia"/>
                <w:color w:val="auto"/>
                <w:lang w:val="en-US" w:eastAsia="zh-CN"/>
              </w:rPr>
            </w:pPr>
            <w:r>
              <w:rPr>
                <w:rFonts w:hint="eastAsia"/>
                <w:color w:val="auto"/>
                <w:lang w:val="en-US" w:eastAsia="zh-CN"/>
              </w:rPr>
              <w:t xml:space="preserve"> (8x2x2) or  </w:t>
            </w:r>
          </w:p>
          <w:p>
            <w:pPr>
              <w:pStyle w:val="35"/>
              <w:rPr>
                <w:rFonts w:hint="default"/>
                <w:color w:val="auto"/>
                <w:lang w:val="en-US" w:eastAsia="zh-CN"/>
              </w:rPr>
            </w:pPr>
            <w:r>
              <w:rPr>
                <w:rFonts w:hint="eastAsia"/>
                <w:color w:val="auto"/>
                <w:lang w:val="en-US" w:eastAsia="zh-CN"/>
              </w:rPr>
              <w:t xml:space="preserve">(16x1x2)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1.7</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radiating element spacing </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0.5 of wavelength for H, 0.</w:t>
            </w:r>
            <w:r>
              <w:rPr>
                <w:rFonts w:hint="eastAsia"/>
                <w:color w:val="auto"/>
                <w:lang w:val="en-US" w:eastAsia="zh-CN"/>
              </w:rPr>
              <w:t>5</w:t>
            </w:r>
            <w:r>
              <w:rPr>
                <w:color w:val="auto"/>
              </w:rPr>
              <w:t xml:space="preserve"> of wavelength for V</w:t>
            </w:r>
          </w:p>
        </w:tc>
      </w:tr>
    </w:tbl>
    <w:p>
      <w:pPr>
        <w:pStyle w:val="40"/>
        <w:bidi w:val="0"/>
        <w:ind w:left="0" w:leftChars="0" w:firstLine="0" w:firstLineChars="0"/>
        <w:rPr>
          <w:rFonts w:hint="default"/>
          <w:lang w:val="en-US" w:eastAsia="zh-CN"/>
        </w:rPr>
      </w:pP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15" w:name="_Toc94170347"/>
      <w:bookmarkStart w:id="16" w:name="_Toc104122351"/>
      <w:bookmarkStart w:id="17" w:name="_Toc104210157"/>
      <w:bookmarkStart w:id="18" w:name="_Toc104502869"/>
      <w:bookmarkStart w:id="19" w:name="_Toc87889246"/>
      <w:r>
        <w:rPr>
          <w:rFonts w:cs="Arial"/>
          <w:b w:val="0"/>
          <w:bCs w:val="0"/>
        </w:rPr>
        <w:t>2.2.</w:t>
      </w:r>
      <w:r>
        <w:rPr>
          <w:rFonts w:hint="eastAsia" w:cs="Arial"/>
          <w:b w:val="0"/>
          <w:bCs w:val="0"/>
          <w:lang w:val="en-US" w:eastAsia="zh-CN"/>
        </w:rPr>
        <w:t>3</w:t>
      </w:r>
      <w:r>
        <w:rPr>
          <w:rFonts w:cs="Arial"/>
          <w:b w:val="0"/>
          <w:bCs w:val="0"/>
        </w:rPr>
        <w:tab/>
      </w:r>
      <w:r>
        <w:rPr>
          <w:rFonts w:cs="Arial"/>
          <w:b w:val="0"/>
          <w:bCs w:val="0"/>
        </w:rPr>
        <w:t>TN parameters</w:t>
      </w:r>
      <w:bookmarkEnd w:id="15"/>
      <w:bookmarkEnd w:id="16"/>
      <w:bookmarkEnd w:id="17"/>
      <w:bookmarkEnd w:id="18"/>
      <w:bookmarkEnd w:id="19"/>
    </w:p>
    <w:p>
      <w:pPr>
        <w:spacing w:after="120"/>
        <w:rPr>
          <w:rFonts w:hint="eastAsia" w:eastAsia="宋体"/>
          <w:lang w:val="en-US" w:eastAsia="zh-CN"/>
        </w:rPr>
      </w:pPr>
      <w:r>
        <w:rPr>
          <w:rFonts w:hint="eastAsia" w:eastAsia="宋体"/>
          <w:lang w:val="en-US" w:eastAsia="zh-CN"/>
        </w:rPr>
        <w:t>TN parameters for co-existence study are given in Table 2.2.</w:t>
      </w:r>
      <w:r>
        <w:rPr>
          <w:rFonts w:hint="eastAsia"/>
          <w:lang w:val="en-US" w:eastAsia="zh-CN"/>
        </w:rPr>
        <w:t>3</w:t>
      </w:r>
      <w:r>
        <w:rPr>
          <w:rFonts w:hint="eastAsia" w:eastAsia="宋体"/>
          <w:lang w:val="en-US" w:eastAsia="zh-CN"/>
        </w:rPr>
        <w:t>-1, 2.2.</w:t>
      </w:r>
      <w:r>
        <w:rPr>
          <w:rFonts w:hint="eastAsia"/>
          <w:lang w:val="en-US" w:eastAsia="zh-CN"/>
        </w:rPr>
        <w:t>3</w:t>
      </w:r>
      <w:r>
        <w:rPr>
          <w:rFonts w:hint="eastAsia" w:eastAsia="宋体"/>
          <w:lang w:val="en-US" w:eastAsia="zh-CN"/>
        </w:rPr>
        <w:t>-2 and 2.2.</w:t>
      </w:r>
      <w:r>
        <w:rPr>
          <w:rFonts w:hint="eastAsia"/>
          <w:lang w:val="en-US" w:eastAsia="zh-CN"/>
        </w:rPr>
        <w:t>3</w:t>
      </w:r>
      <w:r>
        <w:rPr>
          <w:rFonts w:hint="eastAsia" w:eastAsia="宋体"/>
          <w:lang w:val="en-US" w:eastAsia="zh-CN"/>
        </w:rPr>
        <w:t>-3.</w:t>
      </w:r>
    </w:p>
    <w:p>
      <w:pPr>
        <w:jc w:val="center"/>
        <w:rPr>
          <w:rFonts w:hint="eastAsia"/>
          <w:b/>
          <w:bCs/>
          <w:sz w:val="20"/>
          <w:lang w:val="zh-CN" w:eastAsia="zh-CN"/>
        </w:rPr>
      </w:pPr>
      <w:r>
        <w:rPr>
          <w:rFonts w:hint="eastAsia"/>
          <w:b/>
          <w:bCs/>
          <w:sz w:val="20"/>
          <w:lang w:val="zh-CN" w:eastAsia="zh-CN"/>
        </w:rPr>
        <w:t>Table 2.2.</w:t>
      </w:r>
      <w:r>
        <w:rPr>
          <w:rFonts w:hint="eastAsia"/>
          <w:b/>
          <w:bCs/>
          <w:sz w:val="20"/>
          <w:lang w:val="en-US" w:eastAsia="zh-CN"/>
        </w:rPr>
        <w:t>3</w:t>
      </w:r>
      <w:r>
        <w:rPr>
          <w:rFonts w:hint="eastAsia"/>
          <w:b/>
          <w:bCs/>
          <w:sz w:val="20"/>
          <w:lang w:val="zh-CN" w:eastAsia="zh-CN"/>
        </w:rPr>
        <w:t>-1: Simulation assumptions of TN respectively based on NR</w:t>
      </w:r>
    </w:p>
    <w:tbl>
      <w:tblPr>
        <w:tblStyle w:val="9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8"/>
        <w:gridCol w:w="3445"/>
        <w:gridCol w:w="3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540" w:type="pct"/>
          </w:tcPr>
          <w:p>
            <w:pPr>
              <w:pStyle w:val="34"/>
              <w:overflowPunct w:val="0"/>
              <w:autoSpaceDE w:val="0"/>
              <w:autoSpaceDN w:val="0"/>
              <w:adjustRightInd w:val="0"/>
              <w:spacing w:after="180"/>
              <w:textAlignment w:val="baseline"/>
              <w:rPr>
                <w:rFonts w:eastAsia="Yu Mincho"/>
              </w:rPr>
            </w:pPr>
          </w:p>
        </w:tc>
        <w:tc>
          <w:tcPr>
            <w:tcW w:w="1729" w:type="pct"/>
          </w:tcPr>
          <w:p>
            <w:pPr>
              <w:pStyle w:val="34"/>
              <w:overflowPunct w:val="0"/>
              <w:autoSpaceDE w:val="0"/>
              <w:autoSpaceDN w:val="0"/>
              <w:adjustRightInd w:val="0"/>
              <w:spacing w:after="180"/>
              <w:textAlignment w:val="baseline"/>
              <w:rPr>
                <w:rFonts w:eastAsia="Yu Mincho"/>
              </w:rPr>
            </w:pPr>
            <w:r>
              <w:rPr>
                <w:rFonts w:hint="eastAsia" w:eastAsia="Yu Mincho"/>
              </w:rPr>
              <w:t>N</w:t>
            </w:r>
            <w:r>
              <w:rPr>
                <w:rFonts w:eastAsia="Yu Mincho"/>
              </w:rPr>
              <w:t>R</w:t>
            </w:r>
          </w:p>
        </w:tc>
        <w:tc>
          <w:tcPr>
            <w:tcW w:w="1729" w:type="pct"/>
          </w:tcPr>
          <w:p>
            <w:pPr>
              <w:pStyle w:val="34"/>
              <w:overflowPunct w:val="0"/>
              <w:autoSpaceDE w:val="0"/>
              <w:autoSpaceDN w:val="0"/>
              <w:adjustRightInd w:val="0"/>
              <w:spacing w:after="180"/>
              <w:textAlignment w:val="baseline"/>
              <w:rPr>
                <w:rFonts w:hint="default" w:eastAsia="宋体"/>
                <w:lang w:val="en-US" w:eastAsia="zh-CN"/>
              </w:rPr>
            </w:pPr>
            <w:r>
              <w:rPr>
                <w:rFonts w:hint="eastAsia" w:eastAsia="Yu Mincho"/>
              </w:rPr>
              <w:t>N</w:t>
            </w:r>
            <w:r>
              <w:rPr>
                <w:rFonts w:eastAsia="Yu Mincho"/>
              </w:rPr>
              <w: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Carrier frequency in GHz</w:t>
            </w:r>
          </w:p>
        </w:tc>
        <w:tc>
          <w:tcPr>
            <w:tcW w:w="1729" w:type="pct"/>
          </w:tcPr>
          <w:p>
            <w:pPr>
              <w:pStyle w:val="35"/>
              <w:overflowPunct w:val="0"/>
              <w:autoSpaceDE w:val="0"/>
              <w:autoSpaceDN w:val="0"/>
              <w:adjustRightInd w:val="0"/>
              <w:spacing w:after="180"/>
              <w:textAlignment w:val="baseline"/>
              <w:rPr>
                <w:rFonts w:hint="default" w:eastAsia="宋体"/>
                <w:lang w:val="en-US" w:eastAsia="zh-CN"/>
              </w:rPr>
            </w:pPr>
            <w:r>
              <w:rPr>
                <w:rFonts w:eastAsia="Yu Mincho"/>
                <w:color w:val="000000"/>
                <w:szCs w:val="18"/>
              </w:rPr>
              <w:t>2</w:t>
            </w:r>
            <w:r>
              <w:rPr>
                <w:rFonts w:hint="eastAsia" w:eastAsia="宋体"/>
                <w:color w:val="000000"/>
                <w:szCs w:val="18"/>
                <w:lang w:val="en-US" w:eastAsia="zh-CN"/>
              </w:rPr>
              <w:t>.1GHz</w:t>
            </w:r>
          </w:p>
        </w:tc>
        <w:tc>
          <w:tcPr>
            <w:tcW w:w="1729" w:type="pct"/>
            <w:vAlign w:val="top"/>
          </w:tcPr>
          <w:p>
            <w:pPr>
              <w:pStyle w:val="35"/>
              <w:overflowPunct w:val="0"/>
              <w:autoSpaceDE w:val="0"/>
              <w:autoSpaceDN w:val="0"/>
              <w:adjustRightInd w:val="0"/>
              <w:spacing w:after="180"/>
              <w:textAlignment w:val="baseline"/>
              <w:rPr>
                <w:rFonts w:hint="default" w:ascii="Arial" w:hAnsi="Arial" w:eastAsia="宋体" w:cstheme="minorBidi"/>
                <w:color w:val="auto"/>
                <w:kern w:val="2"/>
                <w:sz w:val="18"/>
                <w:szCs w:val="24"/>
                <w:lang w:val="en-US" w:eastAsia="zh-CN" w:bidi="ar-SA"/>
              </w:rPr>
            </w:pPr>
            <w:r>
              <w:rPr>
                <w:rFonts w:hint="eastAsia" w:eastAsia="宋体"/>
                <w:color w:val="auto"/>
                <w:szCs w:val="18"/>
                <w:lang w:val="en-US" w:eastAsia="zh-CN"/>
              </w:rPr>
              <w:t>3.5GHz and 4.9GHz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Size of each nominal channel BW in MHz</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20</w:t>
            </w:r>
          </w:p>
        </w:tc>
        <w:tc>
          <w:tcPr>
            <w:tcW w:w="1729" w:type="pct"/>
            <w:vAlign w:val="top"/>
          </w:tcPr>
          <w:p>
            <w:pPr>
              <w:pStyle w:val="35"/>
              <w:overflowPunct w:val="0"/>
              <w:autoSpaceDE w:val="0"/>
              <w:autoSpaceDN w:val="0"/>
              <w:adjustRightInd w:val="0"/>
              <w:spacing w:after="180"/>
              <w:textAlignment w:val="baseline"/>
              <w:rPr>
                <w:rFonts w:hint="default" w:ascii="Arial" w:hAnsi="Arial" w:eastAsia="宋体" w:cstheme="minorBidi"/>
                <w:color w:val="auto"/>
                <w:kern w:val="2"/>
                <w:sz w:val="18"/>
                <w:szCs w:val="24"/>
                <w:lang w:val="en-US" w:eastAsia="zh-CN" w:bidi="ar-SA"/>
              </w:rPr>
            </w:pPr>
            <w:r>
              <w:rPr>
                <w:rFonts w:hint="eastAsia" w:eastAsia="宋体"/>
                <w:color w:val="auto"/>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Transmission bandwidth in MHz</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N/A</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highlight w:val="none"/>
              </w:rPr>
            </w:pPr>
            <w:r>
              <w:rPr>
                <w:rFonts w:eastAsia="Yu Mincho"/>
                <w:highlight w:val="none"/>
              </w:rPr>
              <w:t>Environment</w:t>
            </w:r>
          </w:p>
        </w:tc>
        <w:tc>
          <w:tcPr>
            <w:tcW w:w="1729" w:type="pct"/>
          </w:tcPr>
          <w:p>
            <w:pPr>
              <w:pStyle w:val="35"/>
              <w:overflowPunct w:val="0"/>
              <w:autoSpaceDE w:val="0"/>
              <w:autoSpaceDN w:val="0"/>
              <w:adjustRightInd w:val="0"/>
              <w:spacing w:after="180"/>
              <w:textAlignment w:val="baseline"/>
              <w:rPr>
                <w:rFonts w:hint="default" w:eastAsia="宋体"/>
                <w:highlight w:val="none"/>
                <w:lang w:val="en-US" w:eastAsia="zh-CN"/>
              </w:rPr>
            </w:pPr>
            <w:r>
              <w:rPr>
                <w:rFonts w:hint="eastAsia" w:eastAsia="宋体"/>
                <w:highlight w:val="none"/>
                <w:lang w:val="en-US" w:eastAsia="zh-CN"/>
              </w:rPr>
              <w:t>Rural</w:t>
            </w:r>
          </w:p>
        </w:tc>
        <w:tc>
          <w:tcPr>
            <w:tcW w:w="1729" w:type="pct"/>
            <w:vAlign w:val="top"/>
          </w:tcPr>
          <w:p>
            <w:pPr>
              <w:pStyle w:val="35"/>
              <w:overflowPunct w:val="0"/>
              <w:autoSpaceDE w:val="0"/>
              <w:autoSpaceDN w:val="0"/>
              <w:adjustRightInd w:val="0"/>
              <w:spacing w:after="180"/>
              <w:textAlignment w:val="baseline"/>
              <w:rPr>
                <w:rFonts w:hint="default" w:ascii="Arial" w:hAnsi="Arial" w:eastAsia="宋体" w:cstheme="minorBidi"/>
                <w:color w:val="auto"/>
                <w:kern w:val="2"/>
                <w:sz w:val="18"/>
                <w:szCs w:val="24"/>
                <w:highlight w:val="none"/>
                <w:lang w:val="en-US" w:eastAsia="zh-CN" w:bidi="ar-SA"/>
              </w:rPr>
            </w:pPr>
            <w:r>
              <w:rPr>
                <w:rFonts w:hint="eastAsia" w:eastAsia="宋体"/>
                <w:color w:val="auto"/>
                <w:highlight w:val="none"/>
                <w:lang w:val="en-US" w:eastAsia="zh-CN"/>
              </w:rPr>
              <w:t>Rural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Network layout</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19-sites 57 sectors with wrap-around</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19-sites 57 sectors with wrap-around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highlight w:val="none"/>
              </w:rPr>
            </w:pPr>
            <w:r>
              <w:rPr>
                <w:rFonts w:eastAsia="Yu Mincho"/>
                <w:highlight w:val="none"/>
              </w:rPr>
              <w:t>Inter-site distance in meter</w:t>
            </w:r>
          </w:p>
        </w:tc>
        <w:tc>
          <w:tcPr>
            <w:tcW w:w="1729" w:type="pct"/>
          </w:tcPr>
          <w:p>
            <w:pPr>
              <w:pStyle w:val="35"/>
              <w:overflowPunct w:val="0"/>
              <w:autoSpaceDE w:val="0"/>
              <w:autoSpaceDN w:val="0"/>
              <w:adjustRightInd w:val="0"/>
              <w:spacing w:after="180"/>
              <w:textAlignment w:val="baseline"/>
              <w:rPr>
                <w:rFonts w:hint="default" w:eastAsia="宋体"/>
                <w:highlight w:val="none"/>
                <w:lang w:val="en-US" w:eastAsia="zh-CN"/>
              </w:rPr>
            </w:pPr>
            <w:r>
              <w:rPr>
                <w:rFonts w:hint="eastAsia" w:eastAsia="宋体"/>
                <w:highlight w:val="none"/>
                <w:lang w:val="en-US" w:eastAsia="zh-CN"/>
              </w:rPr>
              <w:t>7500m</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none"/>
                <w:lang w:val="en-US" w:eastAsia="zh-CN" w:bidi="ar-SA"/>
              </w:rPr>
            </w:pPr>
            <w:r>
              <w:rPr>
                <w:rFonts w:hint="eastAsia" w:eastAsia="宋体"/>
                <w:highlight w:val="none"/>
                <w:lang w:val="en-US" w:eastAsia="zh-CN"/>
              </w:rPr>
              <w:t>7500m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highlight w:val="none"/>
              </w:rPr>
            </w:pPr>
            <w:r>
              <w:rPr>
                <w:rFonts w:eastAsia="Yu Mincho"/>
                <w:highlight w:val="none"/>
              </w:rPr>
              <w:t>System loading and activity</w:t>
            </w:r>
          </w:p>
        </w:tc>
        <w:tc>
          <w:tcPr>
            <w:tcW w:w="1729" w:type="pct"/>
          </w:tcPr>
          <w:p>
            <w:pPr>
              <w:pStyle w:val="35"/>
              <w:overflowPunct w:val="0"/>
              <w:autoSpaceDE w:val="0"/>
              <w:autoSpaceDN w:val="0"/>
              <w:adjustRightInd w:val="0"/>
              <w:spacing w:after="180"/>
              <w:textAlignment w:val="baseline"/>
              <w:rPr>
                <w:rFonts w:hint="default" w:eastAsia="宋体"/>
                <w:color w:val="000000"/>
                <w:szCs w:val="18"/>
                <w:highlight w:val="none"/>
                <w:lang w:val="en-US" w:eastAsia="zh-CN"/>
              </w:rPr>
            </w:pPr>
            <w:r>
              <w:rPr>
                <w:rFonts w:hint="eastAsia" w:eastAsia="宋体"/>
                <w:color w:val="000000"/>
                <w:szCs w:val="18"/>
                <w:highlight w:val="none"/>
                <w:lang w:val="en-US" w:eastAsia="zh-CN"/>
              </w:rPr>
              <w:t>NA</w:t>
            </w:r>
          </w:p>
        </w:tc>
        <w:tc>
          <w:tcPr>
            <w:tcW w:w="1729" w:type="pct"/>
            <w:vAlign w:val="top"/>
          </w:tcPr>
          <w:p>
            <w:pPr>
              <w:pStyle w:val="35"/>
              <w:overflowPunct w:val="0"/>
              <w:autoSpaceDE w:val="0"/>
              <w:autoSpaceDN w:val="0"/>
              <w:adjustRightInd w:val="0"/>
              <w:spacing w:after="180"/>
              <w:textAlignment w:val="baseline"/>
              <w:rPr>
                <w:rFonts w:hint="default" w:ascii="Arial" w:hAnsi="Arial" w:eastAsia="宋体" w:cstheme="minorBidi"/>
                <w:color w:val="auto"/>
                <w:kern w:val="2"/>
                <w:sz w:val="18"/>
                <w:szCs w:val="18"/>
                <w:highlight w:val="none"/>
                <w:lang w:val="en-US" w:eastAsia="zh-CN" w:bidi="ar-SA"/>
              </w:rPr>
            </w:pPr>
            <w:r>
              <w:rPr>
                <w:rFonts w:hint="eastAsia" w:eastAsia="宋体"/>
                <w:color w:val="auto"/>
                <w:szCs w:val="18"/>
                <w:highlight w:val="no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highlight w:val="none"/>
              </w:rPr>
            </w:pPr>
            <w:r>
              <w:rPr>
                <w:rFonts w:eastAsia="Yu Mincho"/>
                <w:highlight w:val="none"/>
              </w:rPr>
              <w:t>Network location</w:t>
            </w:r>
          </w:p>
        </w:tc>
        <w:tc>
          <w:tcPr>
            <w:tcW w:w="1729" w:type="pct"/>
          </w:tcPr>
          <w:p>
            <w:pPr>
              <w:pStyle w:val="35"/>
              <w:overflowPunct w:val="0"/>
              <w:autoSpaceDE w:val="0"/>
              <w:autoSpaceDN w:val="0"/>
              <w:adjustRightInd w:val="0"/>
              <w:spacing w:after="180"/>
              <w:textAlignment w:val="baseline"/>
              <w:rPr>
                <w:rFonts w:eastAsia="宋体"/>
                <w:highlight w:val="none"/>
              </w:rPr>
            </w:pPr>
            <w:r>
              <w:rPr>
                <w:rFonts w:hint="eastAsia" w:eastAsia="Yu Mincho"/>
                <w:color w:val="auto"/>
                <w:szCs w:val="18"/>
                <w:highlight w:val="none"/>
              </w:rPr>
              <w:t xml:space="preserve">See </w:t>
            </w:r>
            <w:r>
              <w:rPr>
                <w:rFonts w:hint="eastAsia" w:eastAsia="Yu Mincho"/>
                <w:color w:val="auto"/>
                <w:szCs w:val="18"/>
                <w:highlight w:val="none"/>
                <w:lang w:val="en-US" w:eastAsia="zh-CN"/>
              </w:rPr>
              <w:t>Figure 2.3.3-1</w:t>
            </w:r>
          </w:p>
        </w:tc>
        <w:tc>
          <w:tcPr>
            <w:tcW w:w="1729" w:type="pct"/>
            <w:vAlign w:val="top"/>
          </w:tcPr>
          <w:p>
            <w:pPr>
              <w:pStyle w:val="35"/>
              <w:overflowPunct w:val="0"/>
              <w:autoSpaceDE w:val="0"/>
              <w:autoSpaceDN w:val="0"/>
              <w:adjustRightInd w:val="0"/>
              <w:spacing w:after="180"/>
              <w:textAlignment w:val="baseline"/>
              <w:rPr>
                <w:rFonts w:hint="eastAsia" w:ascii="Arial" w:hAnsi="Arial" w:eastAsia="宋体" w:cstheme="minorBidi"/>
                <w:color w:val="auto"/>
                <w:kern w:val="2"/>
                <w:sz w:val="18"/>
                <w:szCs w:val="24"/>
                <w:highlight w:val="none"/>
                <w:lang w:val="en-US" w:eastAsia="zh-CN" w:bidi="ar-SA"/>
              </w:rPr>
            </w:pPr>
            <w:r>
              <w:rPr>
                <w:rFonts w:hint="eastAsia" w:eastAsia="Yu Mincho"/>
                <w:color w:val="auto"/>
                <w:szCs w:val="18"/>
                <w:highlight w:val="none"/>
              </w:rPr>
              <w:t xml:space="preserve">See </w:t>
            </w:r>
            <w:r>
              <w:rPr>
                <w:rFonts w:hint="eastAsia" w:eastAsia="Yu Mincho"/>
                <w:color w:val="auto"/>
                <w:szCs w:val="18"/>
                <w:highlight w:val="none"/>
                <w:lang w:val="en-US" w:eastAsia="zh-CN"/>
              </w:rPr>
              <w:t>Figure 2.3.3-1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DL subcarrier spacing</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15kHz</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hint="eastAsia" w:eastAsia="宋体"/>
                <w:color w:val="auto"/>
                <w:szCs w:val="18"/>
                <w:lang w:val="en-US" w:eastAsia="zh-CN"/>
              </w:rPr>
              <w:t>30</w:t>
            </w:r>
            <w:r>
              <w:rPr>
                <w:rFonts w:eastAsia="Yu Mincho"/>
                <w:color w:val="auto"/>
                <w:szCs w:val="18"/>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UL</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OFDMA</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OFDMA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DL power control</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No</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UL power control</w:t>
            </w:r>
          </w:p>
        </w:tc>
        <w:tc>
          <w:tcPr>
            <w:tcW w:w="1729" w:type="pct"/>
          </w:tcPr>
          <w:p>
            <w:pPr>
              <w:pStyle w:val="35"/>
              <w:overflowPunct w:val="0"/>
              <w:autoSpaceDE w:val="0"/>
              <w:autoSpaceDN w:val="0"/>
              <w:adjustRightInd w:val="0"/>
              <w:spacing w:after="180"/>
              <w:textAlignment w:val="baseline"/>
              <w:rPr>
                <w:rFonts w:eastAsia="Yu Mincho"/>
                <w:highlight w:val="cyan"/>
              </w:rPr>
            </w:pPr>
            <w:r>
              <w:rPr>
                <w:rFonts w:eastAsia="Yu Mincho"/>
                <w:color w:val="000000"/>
                <w:szCs w:val="18"/>
              </w:rPr>
              <w:t>TR 36.942[8]</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cyan"/>
                <w:lang w:val="en-US" w:eastAsia="zh-CN" w:bidi="ar-SA"/>
              </w:rPr>
            </w:pPr>
            <w:r>
              <w:rPr>
                <w:rFonts w:eastAsia="Yu Mincho"/>
                <w:color w:val="auto"/>
                <w:szCs w:val="18"/>
              </w:rPr>
              <w:t>TR 36.942[8]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Frequency reuse</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1</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Number of scheduled UE per cell (DL)</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1</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Number of scheduled UE per cell (UL)</w:t>
            </w:r>
          </w:p>
        </w:tc>
        <w:tc>
          <w:tcPr>
            <w:tcW w:w="1729" w:type="pct"/>
          </w:tcPr>
          <w:p>
            <w:pPr>
              <w:pStyle w:val="35"/>
              <w:overflowPunct w:val="0"/>
              <w:autoSpaceDE w:val="0"/>
              <w:autoSpaceDN w:val="0"/>
              <w:adjustRightInd w:val="0"/>
              <w:spacing w:after="180"/>
              <w:textAlignment w:val="baseline"/>
              <w:rPr>
                <w:rFonts w:hint="eastAsia" w:eastAsia="宋体"/>
                <w:lang w:eastAsia="zh-CN"/>
              </w:rPr>
            </w:pPr>
            <w:r>
              <w:rPr>
                <w:rFonts w:hint="eastAsia" w:eastAsia="宋体"/>
                <w:color w:val="000000"/>
                <w:szCs w:val="18"/>
                <w:lang w:val="en-US" w:eastAsia="zh-CN"/>
              </w:rPr>
              <w:t>1</w:t>
            </w:r>
          </w:p>
        </w:tc>
        <w:tc>
          <w:tcPr>
            <w:tcW w:w="1729" w:type="pct"/>
            <w:vAlign w:val="top"/>
          </w:tcPr>
          <w:p>
            <w:pPr>
              <w:pStyle w:val="35"/>
              <w:overflowPunct w:val="0"/>
              <w:autoSpaceDE w:val="0"/>
              <w:autoSpaceDN w:val="0"/>
              <w:adjustRightInd w:val="0"/>
              <w:spacing w:after="180"/>
              <w:textAlignment w:val="baseline"/>
              <w:rPr>
                <w:rFonts w:hint="eastAsia" w:ascii="Arial" w:hAnsi="Arial" w:eastAsia="宋体" w:cstheme="minorBidi"/>
                <w:color w:val="auto"/>
                <w:kern w:val="2"/>
                <w:sz w:val="18"/>
                <w:szCs w:val="24"/>
                <w:lang w:val="en-US" w:eastAsia="zh-CN" w:bidi="ar-SA"/>
              </w:rPr>
            </w:pPr>
            <w:r>
              <w:rPr>
                <w:rFonts w:hint="eastAsia" w:eastAsia="宋体"/>
                <w:color w:val="auto"/>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UE antenna height in meter</w:t>
            </w:r>
          </w:p>
        </w:tc>
        <w:tc>
          <w:tcPr>
            <w:tcW w:w="1729" w:type="pct"/>
          </w:tcPr>
          <w:p>
            <w:pPr>
              <w:pStyle w:val="35"/>
              <w:overflowPunct w:val="0"/>
              <w:autoSpaceDE w:val="0"/>
              <w:autoSpaceDN w:val="0"/>
              <w:adjustRightInd w:val="0"/>
              <w:spacing w:after="180"/>
              <w:textAlignment w:val="baseline"/>
              <w:rPr>
                <w:rFonts w:eastAsia="Yu Mincho"/>
                <w:highlight w:val="cyan"/>
              </w:rPr>
            </w:pPr>
            <w:r>
              <w:rPr>
                <w:rFonts w:eastAsia="Yu Mincho"/>
                <w:color w:val="000000"/>
                <w:szCs w:val="18"/>
              </w:rPr>
              <w:t>1.5m</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cyan"/>
                <w:lang w:val="en-US" w:eastAsia="zh-CN" w:bidi="ar-SA"/>
              </w:rPr>
            </w:pPr>
            <w:r>
              <w:rPr>
                <w:rFonts w:eastAsia="Yu Mincho"/>
                <w:color w:val="auto"/>
                <w:szCs w:val="18"/>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UE TX power in dBm</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-40 to 23</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-33 to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UE antenna gain in dBi</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0</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Building penetration loss</w:t>
            </w:r>
          </w:p>
        </w:tc>
        <w:tc>
          <w:tcPr>
            <w:tcW w:w="1729" w:type="pct"/>
          </w:tcPr>
          <w:p>
            <w:pPr>
              <w:pStyle w:val="35"/>
              <w:overflowPunct w:val="0"/>
              <w:autoSpaceDE w:val="0"/>
              <w:autoSpaceDN w:val="0"/>
              <w:adjustRightInd w:val="0"/>
              <w:spacing w:after="180"/>
              <w:textAlignment w:val="baseline"/>
              <w:rPr>
                <w:rFonts w:eastAsia="Yu Mincho"/>
                <w:highlight w:val="cyan"/>
              </w:rPr>
            </w:pPr>
            <w:r>
              <w:rPr>
                <w:rFonts w:eastAsia="Yu Mincho"/>
                <w:color w:val="000000"/>
                <w:szCs w:val="18"/>
              </w:rPr>
              <w:t>In pathloss model, TR 38.901[10]</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cyan"/>
                <w:lang w:val="en-US" w:eastAsia="zh-CN" w:bidi="ar-SA"/>
              </w:rPr>
            </w:pPr>
            <w:r>
              <w:rPr>
                <w:rFonts w:eastAsia="Yu Mincho"/>
                <w:color w:val="auto"/>
                <w:szCs w:val="18"/>
              </w:rPr>
              <w:t>In pathloss model, 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Cell selection margin in dB</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3</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BS-MS min distance in meters</w:t>
            </w:r>
          </w:p>
        </w:tc>
        <w:tc>
          <w:tcPr>
            <w:tcW w:w="1729" w:type="pct"/>
          </w:tcPr>
          <w:p>
            <w:pPr>
              <w:pStyle w:val="35"/>
              <w:overflowPunct w:val="0"/>
              <w:autoSpaceDE w:val="0"/>
              <w:autoSpaceDN w:val="0"/>
              <w:adjustRightInd w:val="0"/>
              <w:spacing w:after="180"/>
              <w:textAlignment w:val="baseline"/>
              <w:rPr>
                <w:rFonts w:eastAsia="Yu Mincho"/>
                <w:highlight w:val="cyan"/>
              </w:rPr>
            </w:pPr>
            <w:r>
              <w:rPr>
                <w:rFonts w:hint="eastAsia" w:eastAsia="Yu Mincho"/>
              </w:rPr>
              <w:t>3</w:t>
            </w:r>
            <w:r>
              <w:rPr>
                <w:rFonts w:eastAsia="Yu Mincho"/>
              </w:rPr>
              <w:t>5</w:t>
            </w:r>
          </w:p>
        </w:tc>
        <w:tc>
          <w:tcPr>
            <w:tcW w:w="1729" w:type="pct"/>
            <w:vAlign w:val="top"/>
          </w:tcPr>
          <w:p>
            <w:pPr>
              <w:pStyle w:val="35"/>
              <w:overflowPunct w:val="0"/>
              <w:autoSpaceDE w:val="0"/>
              <w:autoSpaceDN w:val="0"/>
              <w:adjustRightInd w:val="0"/>
              <w:spacing w:after="180"/>
              <w:textAlignment w:val="baseline"/>
              <w:rPr>
                <w:rFonts w:hint="eastAsia" w:ascii="Arial" w:hAnsi="Arial" w:eastAsia="Yu Mincho" w:cstheme="minorBidi"/>
                <w:color w:val="auto"/>
                <w:kern w:val="2"/>
                <w:sz w:val="18"/>
                <w:szCs w:val="24"/>
                <w:highlight w:val="cyan"/>
                <w:lang w:val="en-US" w:eastAsia="zh-CN" w:bidi="ar-SA"/>
              </w:rPr>
            </w:pPr>
            <w:r>
              <w:rPr>
                <w:rFonts w:hint="eastAsia" w:eastAsia="Yu Mincho"/>
                <w:color w:val="auto"/>
              </w:rPr>
              <w:t>3</w:t>
            </w:r>
            <w:r>
              <w:rPr>
                <w:rFonts w:eastAsia="Yu Mincho"/>
                <w:color w:val="auto"/>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BS noise figure in dB</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5</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lang w:val="fr-FR"/>
              </w:rPr>
            </w:pPr>
            <w:r>
              <w:rPr>
                <w:rFonts w:eastAsia="Yu Mincho"/>
                <w:lang w:val="fr-FR"/>
              </w:rPr>
              <w:t>UE noise figure in dB</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9</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0" w:type="pct"/>
          </w:tcPr>
          <w:p>
            <w:pPr>
              <w:pStyle w:val="36"/>
              <w:overflowPunct w:val="0"/>
              <w:autoSpaceDE w:val="0"/>
              <w:autoSpaceDN w:val="0"/>
              <w:adjustRightInd w:val="0"/>
              <w:spacing w:after="180"/>
              <w:textAlignment w:val="baseline"/>
              <w:rPr>
                <w:rFonts w:eastAsia="Yu Mincho"/>
              </w:rPr>
            </w:pPr>
            <w:r>
              <w:rPr>
                <w:rFonts w:eastAsia="Yu Mincho"/>
              </w:rPr>
              <w:t>BS-UE path-loss model</w:t>
            </w:r>
          </w:p>
        </w:tc>
        <w:tc>
          <w:tcPr>
            <w:tcW w:w="1729" w:type="pct"/>
          </w:tcPr>
          <w:p>
            <w:pPr>
              <w:pStyle w:val="35"/>
              <w:overflowPunct w:val="0"/>
              <w:autoSpaceDE w:val="0"/>
              <w:autoSpaceDN w:val="0"/>
              <w:adjustRightInd w:val="0"/>
              <w:spacing w:after="180"/>
              <w:textAlignment w:val="baseline"/>
              <w:rPr>
                <w:rFonts w:eastAsia="Yu Mincho"/>
              </w:rPr>
            </w:pPr>
            <w:r>
              <w:rPr>
                <w:rFonts w:eastAsia="Yu Mincho"/>
                <w:color w:val="000000"/>
                <w:szCs w:val="18"/>
              </w:rPr>
              <w:t>TR 38.901[10]</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Standard deviation of BS-UE log-normal shadow fading in dB</w:t>
            </w:r>
          </w:p>
        </w:tc>
        <w:tc>
          <w:tcPr>
            <w:tcW w:w="1729" w:type="pct"/>
          </w:tcPr>
          <w:p>
            <w:pPr>
              <w:pStyle w:val="35"/>
              <w:overflowPunct w:val="0"/>
              <w:autoSpaceDE w:val="0"/>
              <w:autoSpaceDN w:val="0"/>
              <w:adjustRightInd w:val="0"/>
              <w:spacing w:after="180"/>
              <w:textAlignment w:val="baseline"/>
              <w:rPr>
                <w:rFonts w:eastAsia="Yu Mincho"/>
                <w:highlight w:val="cyan"/>
              </w:rPr>
            </w:pPr>
            <w:r>
              <w:rPr>
                <w:rFonts w:eastAsia="Yu Mincho"/>
                <w:color w:val="000000"/>
                <w:szCs w:val="18"/>
              </w:rPr>
              <w:t>Deployment scenario related, referring to TR 38.901[10]</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cyan"/>
                <w:lang w:val="en-US" w:eastAsia="zh-CN" w:bidi="ar-SA"/>
              </w:rPr>
            </w:pPr>
            <w:r>
              <w:rPr>
                <w:rFonts w:eastAsia="Yu Mincho"/>
                <w:color w:val="auto"/>
                <w:szCs w:val="18"/>
              </w:rPr>
              <w:t>Deployment scenario related, referring to TR 38.901[10]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Shadowing correlation</w:t>
            </w:r>
          </w:p>
        </w:tc>
        <w:tc>
          <w:tcPr>
            <w:tcW w:w="1729" w:type="pct"/>
          </w:tcPr>
          <w:p>
            <w:pPr>
              <w:pStyle w:val="35"/>
              <w:overflowPunct w:val="0"/>
              <w:autoSpaceDE w:val="0"/>
              <w:autoSpaceDN w:val="0"/>
              <w:adjustRightInd w:val="0"/>
              <w:spacing w:after="180"/>
              <w:textAlignment w:val="baseline"/>
              <w:rPr>
                <w:rFonts w:eastAsia="Yu Mincho"/>
              </w:rPr>
            </w:pPr>
            <w:r>
              <w:rPr>
                <w:rFonts w:eastAsia="Yu Mincho"/>
              </w:rPr>
              <w:t xml:space="preserve">Inter-cell 0.5 </w:t>
            </w:r>
          </w:p>
          <w:p>
            <w:pPr>
              <w:pStyle w:val="35"/>
              <w:overflowPunct w:val="0"/>
              <w:autoSpaceDE w:val="0"/>
              <w:autoSpaceDN w:val="0"/>
              <w:adjustRightInd w:val="0"/>
              <w:spacing w:after="180"/>
              <w:textAlignment w:val="baseline"/>
              <w:rPr>
                <w:rFonts w:eastAsia="Yu Mincho"/>
              </w:rPr>
            </w:pPr>
            <w:r>
              <w:rPr>
                <w:rFonts w:eastAsia="Yu Mincho"/>
              </w:rPr>
              <w:t>Intra-cell 1</w:t>
            </w:r>
          </w:p>
        </w:tc>
        <w:tc>
          <w:tcPr>
            <w:tcW w:w="1729" w:type="pct"/>
            <w:vAlign w:val="top"/>
          </w:tcPr>
          <w:p>
            <w:pPr>
              <w:pStyle w:val="35"/>
              <w:overflowPunct w:val="0"/>
              <w:autoSpaceDE w:val="0"/>
              <w:autoSpaceDN w:val="0"/>
              <w:adjustRightInd w:val="0"/>
              <w:spacing w:after="180"/>
              <w:textAlignment w:val="baseline"/>
              <w:rPr>
                <w:rFonts w:eastAsia="Yu Mincho"/>
                <w:color w:val="auto"/>
              </w:rPr>
            </w:pPr>
            <w:r>
              <w:rPr>
                <w:rFonts w:eastAsia="Yu Mincho"/>
                <w:color w:val="auto"/>
              </w:rPr>
              <w:t xml:space="preserve">Inter-cell 0.5 </w:t>
            </w:r>
          </w:p>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rPr>
              <w:t>Intra-cell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Link-level performance model</w:t>
            </w:r>
          </w:p>
        </w:tc>
        <w:tc>
          <w:tcPr>
            <w:tcW w:w="1729" w:type="pct"/>
          </w:tcPr>
          <w:p>
            <w:pPr>
              <w:pStyle w:val="35"/>
              <w:overflowPunct w:val="0"/>
              <w:autoSpaceDE w:val="0"/>
              <w:autoSpaceDN w:val="0"/>
              <w:adjustRightInd w:val="0"/>
              <w:spacing w:after="180"/>
              <w:textAlignment w:val="baseline"/>
              <w:rPr>
                <w:rFonts w:eastAsia="Yu Mincho"/>
                <w:color w:val="000000"/>
                <w:szCs w:val="18"/>
              </w:rPr>
            </w:pPr>
            <w:r>
              <w:rPr>
                <w:rFonts w:eastAsia="Yu Mincho"/>
                <w:color w:val="000000"/>
                <w:szCs w:val="18"/>
              </w:rPr>
              <w:t>See Section 6.2.8</w:t>
            </w:r>
          </w:p>
          <w:p>
            <w:pPr>
              <w:pStyle w:val="35"/>
              <w:overflowPunct w:val="0"/>
              <w:autoSpaceDE w:val="0"/>
              <w:autoSpaceDN w:val="0"/>
              <w:adjustRightInd w:val="0"/>
              <w:spacing w:after="180"/>
              <w:textAlignment w:val="baseline"/>
              <w:rPr>
                <w:rFonts w:eastAsia="Yu Mincho"/>
              </w:rPr>
            </w:pPr>
            <w:r>
              <w:rPr>
                <w:rFonts w:eastAsia="Yu Mincho"/>
                <w:color w:val="000000"/>
                <w:szCs w:val="18"/>
              </w:rPr>
              <w:t>Throughtput-SINR mapping</w:t>
            </w:r>
          </w:p>
        </w:tc>
        <w:tc>
          <w:tcPr>
            <w:tcW w:w="1729" w:type="pct"/>
            <w:vAlign w:val="top"/>
          </w:tcPr>
          <w:p>
            <w:pPr>
              <w:pStyle w:val="35"/>
              <w:overflowPunct w:val="0"/>
              <w:autoSpaceDE w:val="0"/>
              <w:autoSpaceDN w:val="0"/>
              <w:adjustRightInd w:val="0"/>
              <w:spacing w:after="180"/>
              <w:textAlignment w:val="baseline"/>
              <w:rPr>
                <w:rFonts w:eastAsia="Yu Mincho"/>
                <w:color w:val="auto"/>
                <w:szCs w:val="18"/>
              </w:rPr>
            </w:pPr>
            <w:r>
              <w:rPr>
                <w:rFonts w:eastAsia="Yu Mincho"/>
                <w:color w:val="auto"/>
                <w:szCs w:val="18"/>
              </w:rPr>
              <w:t>See Section 6.2.8</w:t>
            </w:r>
          </w:p>
          <w:p>
            <w:pPr>
              <w:pStyle w:val="35"/>
              <w:overflowPunct w:val="0"/>
              <w:autoSpaceDE w:val="0"/>
              <w:autoSpaceDN w:val="0"/>
              <w:adjustRightInd w:val="0"/>
              <w:spacing w:after="180"/>
              <w:textAlignment w:val="baseline"/>
              <w:rPr>
                <w:rFonts w:ascii="Arial" w:hAnsi="Arial" w:eastAsia="Yu Mincho" w:cstheme="minorBidi"/>
                <w:color w:val="auto"/>
                <w:kern w:val="2"/>
                <w:sz w:val="18"/>
                <w:szCs w:val="24"/>
                <w:lang w:val="en-US" w:eastAsia="zh-CN" w:bidi="ar-SA"/>
              </w:rPr>
            </w:pPr>
            <w:r>
              <w:rPr>
                <w:rFonts w:eastAsia="Yu Mincho"/>
                <w:color w:val="auto"/>
                <w:szCs w:val="18"/>
              </w:rPr>
              <w:t>Throughtput-SINR mapping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hint="eastAsia" w:eastAsia="Yu Mincho"/>
              </w:rPr>
              <w:t>U</w:t>
            </w:r>
            <w:r>
              <w:rPr>
                <w:rFonts w:eastAsia="Yu Mincho"/>
              </w:rPr>
              <w:t>E distribution</w:t>
            </w:r>
          </w:p>
        </w:tc>
        <w:tc>
          <w:tcPr>
            <w:tcW w:w="1729" w:type="pct"/>
          </w:tcPr>
          <w:p>
            <w:pPr>
              <w:pStyle w:val="35"/>
              <w:overflowPunct w:val="0"/>
              <w:autoSpaceDE w:val="0"/>
              <w:autoSpaceDN w:val="0"/>
              <w:adjustRightInd w:val="0"/>
              <w:spacing w:after="180"/>
              <w:textAlignment w:val="baseline"/>
              <w:rPr>
                <w:rFonts w:eastAsia="Yu Mincho"/>
                <w:highlight w:val="cyan"/>
              </w:rPr>
            </w:pPr>
            <w:r>
              <w:rPr>
                <w:rFonts w:eastAsia="Yu Mincho"/>
                <w:color w:val="000000"/>
                <w:szCs w:val="18"/>
              </w:rPr>
              <w:t>Uniform</w:t>
            </w:r>
          </w:p>
        </w:tc>
        <w:tc>
          <w:tcPr>
            <w:tcW w:w="1729" w:type="pct"/>
            <w:vAlign w:val="top"/>
          </w:tcPr>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cyan"/>
                <w:lang w:val="en-US" w:eastAsia="zh-CN" w:bidi="ar-SA"/>
              </w:rPr>
            </w:pPr>
            <w:r>
              <w:rPr>
                <w:rFonts w:eastAsia="Yu Mincho"/>
                <w:color w:val="auto"/>
                <w:szCs w:val="18"/>
              </w:rPr>
              <w:t>Uniform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pct"/>
          </w:tcPr>
          <w:p>
            <w:pPr>
              <w:pStyle w:val="36"/>
              <w:overflowPunct w:val="0"/>
              <w:autoSpaceDE w:val="0"/>
              <w:autoSpaceDN w:val="0"/>
              <w:adjustRightInd w:val="0"/>
              <w:spacing w:after="180"/>
              <w:textAlignment w:val="baseline"/>
              <w:rPr>
                <w:rFonts w:eastAsia="Yu Mincho"/>
              </w:rPr>
            </w:pPr>
            <w:r>
              <w:rPr>
                <w:rFonts w:eastAsia="Yu Mincho"/>
              </w:rPr>
              <w:t>Evaluation metrics</w:t>
            </w:r>
          </w:p>
        </w:tc>
        <w:tc>
          <w:tcPr>
            <w:tcW w:w="1729" w:type="pct"/>
          </w:tcPr>
          <w:p>
            <w:pPr>
              <w:pStyle w:val="35"/>
              <w:overflowPunct w:val="0"/>
              <w:autoSpaceDE w:val="0"/>
              <w:autoSpaceDN w:val="0"/>
              <w:adjustRightInd w:val="0"/>
              <w:spacing w:after="180"/>
              <w:textAlignment w:val="baseline"/>
              <w:rPr>
                <w:rFonts w:eastAsia="Yu Mincho"/>
                <w:color w:val="000000"/>
                <w:szCs w:val="18"/>
              </w:rPr>
            </w:pPr>
            <w:r>
              <w:rPr>
                <w:rFonts w:eastAsia="Yu Mincho"/>
                <w:color w:val="000000"/>
                <w:szCs w:val="18"/>
              </w:rPr>
              <w:t xml:space="preserve">See Section 6.2.8 </w:t>
            </w:r>
          </w:p>
          <w:p>
            <w:pPr>
              <w:pStyle w:val="35"/>
              <w:overflowPunct w:val="0"/>
              <w:autoSpaceDE w:val="0"/>
              <w:autoSpaceDN w:val="0"/>
              <w:adjustRightInd w:val="0"/>
              <w:spacing w:after="180"/>
              <w:textAlignment w:val="baseline"/>
              <w:rPr>
                <w:rFonts w:eastAsia="Yu Mincho"/>
                <w:highlight w:val="cyan"/>
              </w:rPr>
            </w:pPr>
            <w:r>
              <w:rPr>
                <w:rFonts w:eastAsia="Yu Mincho"/>
                <w:color w:val="000000"/>
                <w:szCs w:val="18"/>
              </w:rPr>
              <w:t>Throughtput or SNR loss criteria</w:t>
            </w:r>
          </w:p>
        </w:tc>
        <w:tc>
          <w:tcPr>
            <w:tcW w:w="1729" w:type="pct"/>
            <w:vAlign w:val="top"/>
          </w:tcPr>
          <w:p>
            <w:pPr>
              <w:pStyle w:val="35"/>
              <w:overflowPunct w:val="0"/>
              <w:autoSpaceDE w:val="0"/>
              <w:autoSpaceDN w:val="0"/>
              <w:adjustRightInd w:val="0"/>
              <w:spacing w:after="180"/>
              <w:textAlignment w:val="baseline"/>
              <w:rPr>
                <w:rFonts w:eastAsia="Yu Mincho"/>
                <w:color w:val="auto"/>
                <w:szCs w:val="18"/>
              </w:rPr>
            </w:pPr>
            <w:r>
              <w:rPr>
                <w:rFonts w:eastAsia="Yu Mincho"/>
                <w:color w:val="auto"/>
                <w:szCs w:val="18"/>
              </w:rPr>
              <w:t xml:space="preserve">See Section 6.2.8 </w:t>
            </w:r>
          </w:p>
          <w:p>
            <w:pPr>
              <w:pStyle w:val="35"/>
              <w:overflowPunct w:val="0"/>
              <w:autoSpaceDE w:val="0"/>
              <w:autoSpaceDN w:val="0"/>
              <w:adjustRightInd w:val="0"/>
              <w:spacing w:after="180"/>
              <w:textAlignment w:val="baseline"/>
              <w:rPr>
                <w:rFonts w:ascii="Arial" w:hAnsi="Arial" w:eastAsia="Yu Mincho" w:cstheme="minorBidi"/>
                <w:color w:val="auto"/>
                <w:kern w:val="2"/>
                <w:sz w:val="18"/>
                <w:szCs w:val="24"/>
                <w:highlight w:val="cyan"/>
                <w:lang w:val="en-US" w:eastAsia="zh-CN" w:bidi="ar-SA"/>
              </w:rPr>
            </w:pPr>
            <w:r>
              <w:rPr>
                <w:rFonts w:eastAsia="Yu Mincho"/>
                <w:color w:val="auto"/>
                <w:szCs w:val="18"/>
              </w:rPr>
              <w:t>Throughtput or SNR loss criteria</w:t>
            </w:r>
          </w:p>
        </w:tc>
      </w:tr>
    </w:tbl>
    <w:p>
      <w:pPr>
        <w:rPr>
          <w:rFonts w:eastAsia="宋体"/>
        </w:rPr>
      </w:pPr>
    </w:p>
    <w:p>
      <w:pPr>
        <w:jc w:val="center"/>
        <w:rPr>
          <w:rFonts w:hint="eastAsia"/>
          <w:b/>
          <w:bCs/>
          <w:sz w:val="20"/>
          <w:lang w:val="zh-CN" w:eastAsia="zh-CN"/>
        </w:rPr>
      </w:pPr>
      <w:r>
        <w:rPr>
          <w:rFonts w:hint="eastAsia"/>
          <w:b/>
          <w:bCs/>
          <w:sz w:val="20"/>
          <w:lang w:val="zh-CN" w:eastAsia="zh-CN"/>
        </w:rPr>
        <w:t>Table 2.2.</w:t>
      </w:r>
      <w:r>
        <w:rPr>
          <w:rFonts w:hint="eastAsia"/>
          <w:b/>
          <w:bCs/>
          <w:sz w:val="20"/>
          <w:lang w:val="en-US" w:eastAsia="zh-CN"/>
        </w:rPr>
        <w:t>3</w:t>
      </w:r>
      <w:r>
        <w:rPr>
          <w:rFonts w:hint="eastAsia"/>
          <w:b/>
          <w:bCs/>
          <w:sz w:val="20"/>
          <w:lang w:val="zh-CN" w:eastAsia="zh-CN"/>
        </w:rPr>
        <w:t>-2: Deployment-related parameters of TN</w:t>
      </w:r>
    </w:p>
    <w:tbl>
      <w:tblPr>
        <w:tblStyle w:val="9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9"/>
        <w:gridCol w:w="2271"/>
        <w:gridCol w:w="2200"/>
        <w:gridCol w:w="3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918" w:type="pct"/>
            <w:vAlign w:val="center"/>
          </w:tcPr>
          <w:p>
            <w:pPr>
              <w:pStyle w:val="34"/>
              <w:overflowPunct w:val="0"/>
              <w:autoSpaceDE w:val="0"/>
              <w:autoSpaceDN w:val="0"/>
              <w:adjustRightInd w:val="0"/>
              <w:spacing w:after="180"/>
              <w:textAlignment w:val="baseline"/>
              <w:rPr>
                <w:rFonts w:eastAsia="Yu Mincho"/>
              </w:rPr>
            </w:pPr>
          </w:p>
        </w:tc>
        <w:tc>
          <w:tcPr>
            <w:tcW w:w="1140" w:type="pct"/>
            <w:vAlign w:val="center"/>
          </w:tcPr>
          <w:p>
            <w:pPr>
              <w:pStyle w:val="34"/>
              <w:overflowPunct w:val="0"/>
              <w:autoSpaceDE w:val="0"/>
              <w:autoSpaceDN w:val="0"/>
              <w:adjustRightInd w:val="0"/>
              <w:spacing w:after="180"/>
              <w:textAlignment w:val="baseline"/>
              <w:rPr>
                <w:rFonts w:hint="default" w:eastAsia="Yu Mincho"/>
                <w:lang w:val="en-US" w:eastAsia="zh-CN"/>
              </w:rPr>
            </w:pPr>
            <w:r>
              <w:rPr>
                <w:rFonts w:eastAsia="Yu Mincho"/>
              </w:rPr>
              <w:t>Urban Macro</w:t>
            </w:r>
            <w:r>
              <w:rPr>
                <w:rFonts w:hint="eastAsia" w:eastAsia="Yu Mincho"/>
                <w:lang w:val="en-US" w:eastAsia="zh-CN"/>
              </w:rPr>
              <w:t xml:space="preserve"> </w:t>
            </w:r>
          </w:p>
        </w:tc>
        <w:tc>
          <w:tcPr>
            <w:tcW w:w="1104" w:type="pct"/>
            <w:vAlign w:val="center"/>
          </w:tcPr>
          <w:p>
            <w:pPr>
              <w:pStyle w:val="34"/>
              <w:overflowPunct w:val="0"/>
              <w:autoSpaceDE w:val="0"/>
              <w:autoSpaceDN w:val="0"/>
              <w:adjustRightInd w:val="0"/>
              <w:spacing w:after="180"/>
              <w:textAlignment w:val="baseline"/>
              <w:rPr>
                <w:rFonts w:hint="default" w:eastAsia="宋体"/>
                <w:lang w:val="en-US" w:eastAsia="zh-CN"/>
              </w:rPr>
            </w:pPr>
            <w:r>
              <w:rPr>
                <w:rFonts w:eastAsia="Yu Mincho"/>
              </w:rPr>
              <w:t>Rural Macro</w:t>
            </w:r>
            <w:r>
              <w:rPr>
                <w:rFonts w:hint="eastAsia" w:eastAsia="宋体"/>
                <w:lang w:val="en-US" w:eastAsia="zh-CN"/>
              </w:rPr>
              <w:t xml:space="preserve"> </w:t>
            </w:r>
          </w:p>
        </w:tc>
        <w:tc>
          <w:tcPr>
            <w:tcW w:w="1838" w:type="pct"/>
            <w:vAlign w:val="center"/>
          </w:tcPr>
          <w:p>
            <w:pPr>
              <w:pStyle w:val="34"/>
              <w:overflowPunct w:val="0"/>
              <w:autoSpaceDE w:val="0"/>
              <w:autoSpaceDN w:val="0"/>
              <w:adjustRightInd w:val="0"/>
              <w:spacing w:after="180"/>
              <w:textAlignment w:val="baseline"/>
              <w:rPr>
                <w:rFonts w:eastAsia="Yu Mincho"/>
              </w:rPr>
            </w:pPr>
            <w:r>
              <w:rPr>
                <w:rFonts w:hint="eastAsia" w:eastAsia="Yu Mincho"/>
              </w:rPr>
              <w:t>R</w:t>
            </w:r>
            <w:r>
              <w:rPr>
                <w:rFonts w:eastAsia="Yu Mincho"/>
              </w:rPr>
              <w:t>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5"/>
              <w:overflowPunct w:val="0"/>
              <w:autoSpaceDE w:val="0"/>
              <w:autoSpaceDN w:val="0"/>
              <w:adjustRightInd w:val="0"/>
              <w:spacing w:after="180"/>
              <w:textAlignment w:val="baseline"/>
              <w:rPr>
                <w:rFonts w:eastAsia="Yu Mincho"/>
              </w:rPr>
            </w:pPr>
            <w:r>
              <w:rPr>
                <w:rFonts w:hint="eastAsia" w:eastAsia="Yu Mincho"/>
              </w:rPr>
              <w:t>I</w:t>
            </w:r>
            <w:r>
              <w:rPr>
                <w:rFonts w:eastAsia="Yu Mincho"/>
              </w:rPr>
              <w:t>SD in meters</w:t>
            </w:r>
          </w:p>
        </w:tc>
        <w:tc>
          <w:tcPr>
            <w:tcW w:w="1140" w:type="pct"/>
            <w:vAlign w:val="center"/>
          </w:tcPr>
          <w:p>
            <w:pPr>
              <w:pStyle w:val="34"/>
              <w:overflowPunct w:val="0"/>
              <w:autoSpaceDE w:val="0"/>
              <w:autoSpaceDN w:val="0"/>
              <w:adjustRightInd w:val="0"/>
              <w:spacing w:after="180"/>
              <w:textAlignment w:val="baseline"/>
              <w:rPr>
                <w:rFonts w:hint="default" w:eastAsia="Yu Mincho"/>
                <w:b w:val="0"/>
                <w:bCs/>
                <w:lang w:val="en-US" w:eastAsia="zh-CN"/>
              </w:rPr>
            </w:pPr>
            <w:r>
              <w:rPr>
                <w:rFonts w:hint="eastAsia" w:eastAsia="Yu Mincho"/>
                <w:b w:val="0"/>
                <w:bCs/>
                <w:lang w:val="en-US" w:eastAsia="zh-CN"/>
              </w:rPr>
              <w:t>NA</w:t>
            </w:r>
          </w:p>
        </w:tc>
        <w:tc>
          <w:tcPr>
            <w:tcW w:w="1104" w:type="pct"/>
            <w:vAlign w:val="center"/>
          </w:tcPr>
          <w:p>
            <w:pPr>
              <w:pStyle w:val="35"/>
              <w:overflowPunct w:val="0"/>
              <w:autoSpaceDE w:val="0"/>
              <w:autoSpaceDN w:val="0"/>
              <w:adjustRightInd w:val="0"/>
              <w:spacing w:after="180"/>
              <w:textAlignment w:val="baseline"/>
              <w:rPr>
                <w:rFonts w:eastAsia="Yu Mincho"/>
              </w:rPr>
            </w:pPr>
            <w:r>
              <w:rPr>
                <w:rFonts w:eastAsia="Yu Mincho"/>
              </w:rPr>
              <w:t>7500</w:t>
            </w:r>
          </w:p>
        </w:tc>
        <w:tc>
          <w:tcPr>
            <w:tcW w:w="1838" w:type="pct"/>
            <w:vMerge w:val="restart"/>
            <w:vAlign w:val="center"/>
          </w:tcPr>
          <w:p>
            <w:pPr>
              <w:pStyle w:val="36"/>
              <w:overflowPunct w:val="0"/>
              <w:autoSpaceDE w:val="0"/>
              <w:autoSpaceDN w:val="0"/>
              <w:adjustRightInd w:val="0"/>
              <w:spacing w:after="180"/>
              <w:textAlignment w:val="baseline"/>
              <w:rPr>
                <w:rFonts w:eastAsia="Yu Mincho"/>
              </w:rPr>
            </w:pPr>
            <w:r>
              <w:rPr>
                <w:rFonts w:hint="eastAsia" w:eastAsia="Yu Mincho"/>
              </w:rPr>
              <w:t>I</w:t>
            </w:r>
            <w:r>
              <w:rPr>
                <w:rFonts w:eastAsia="Yu Mincho"/>
              </w:rPr>
              <w:t>TU-R Report M.2292[11]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5"/>
              <w:overflowPunct w:val="0"/>
              <w:autoSpaceDE w:val="0"/>
              <w:autoSpaceDN w:val="0"/>
              <w:adjustRightInd w:val="0"/>
              <w:spacing w:after="180"/>
              <w:textAlignment w:val="baseline"/>
              <w:rPr>
                <w:rFonts w:eastAsia="Yu Mincho"/>
              </w:rPr>
            </w:pPr>
            <w:r>
              <w:rPr>
                <w:rFonts w:eastAsia="Yu Mincho"/>
              </w:rPr>
              <w:t>BS Antenna height in meters</w:t>
            </w:r>
          </w:p>
        </w:tc>
        <w:tc>
          <w:tcPr>
            <w:tcW w:w="1140" w:type="pct"/>
            <w:vAlign w:val="center"/>
          </w:tcPr>
          <w:p>
            <w:pPr>
              <w:pStyle w:val="34"/>
              <w:overflowPunct w:val="0"/>
              <w:autoSpaceDE w:val="0"/>
              <w:autoSpaceDN w:val="0"/>
              <w:adjustRightInd w:val="0"/>
              <w:spacing w:after="180"/>
              <w:textAlignment w:val="baseline"/>
              <w:rPr>
                <w:rFonts w:hint="default" w:eastAsia="Yu Mincho"/>
                <w:b w:val="0"/>
                <w:bCs/>
                <w:lang w:val="en-US" w:eastAsia="zh-CN"/>
              </w:rPr>
            </w:pPr>
            <w:r>
              <w:rPr>
                <w:rFonts w:hint="eastAsia" w:eastAsia="Yu Mincho"/>
                <w:b w:val="0"/>
                <w:bCs/>
                <w:lang w:val="en-US" w:eastAsia="zh-CN"/>
              </w:rPr>
              <w:t>NA</w:t>
            </w:r>
          </w:p>
        </w:tc>
        <w:tc>
          <w:tcPr>
            <w:tcW w:w="1104" w:type="pct"/>
            <w:vAlign w:val="center"/>
          </w:tcPr>
          <w:p>
            <w:pPr>
              <w:pStyle w:val="35"/>
              <w:overflowPunct w:val="0"/>
              <w:autoSpaceDE w:val="0"/>
              <w:autoSpaceDN w:val="0"/>
              <w:adjustRightInd w:val="0"/>
              <w:spacing w:after="180"/>
              <w:textAlignment w:val="baseline"/>
              <w:rPr>
                <w:rFonts w:eastAsia="Yu Mincho"/>
              </w:rPr>
            </w:pPr>
            <w:r>
              <w:rPr>
                <w:rFonts w:hint="eastAsia" w:eastAsia="Yu Mincho"/>
              </w:rPr>
              <w:t>3</w:t>
            </w:r>
            <w:r>
              <w:rPr>
                <w:rFonts w:eastAsia="Yu Mincho"/>
              </w:rPr>
              <w:t>0</w:t>
            </w:r>
          </w:p>
        </w:tc>
        <w:tc>
          <w:tcPr>
            <w:tcW w:w="1838" w:type="pct"/>
            <w:vMerge w:val="continue"/>
            <w:vAlign w:val="center"/>
          </w:tcPr>
          <w:p>
            <w:pPr>
              <w:pStyle w:val="36"/>
              <w:overflowPunct w:val="0"/>
              <w:autoSpaceDE w:val="0"/>
              <w:autoSpaceDN w:val="0"/>
              <w:adjustRightInd w:val="0"/>
              <w:spacing w:after="18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5"/>
              <w:overflowPunct w:val="0"/>
              <w:autoSpaceDE w:val="0"/>
              <w:autoSpaceDN w:val="0"/>
              <w:adjustRightInd w:val="0"/>
              <w:spacing w:after="180"/>
              <w:textAlignment w:val="baseline"/>
              <w:rPr>
                <w:rFonts w:eastAsia="Yu Mincho"/>
              </w:rPr>
            </w:pPr>
            <w:r>
              <w:rPr>
                <w:rFonts w:eastAsia="Yu Mincho"/>
              </w:rPr>
              <w:t>UE Outdoor/indoor</w:t>
            </w:r>
          </w:p>
        </w:tc>
        <w:tc>
          <w:tcPr>
            <w:tcW w:w="2244" w:type="pct"/>
            <w:gridSpan w:val="2"/>
            <w:vAlign w:val="center"/>
          </w:tcPr>
          <w:p>
            <w:pPr>
              <w:pStyle w:val="35"/>
              <w:overflowPunct w:val="0"/>
              <w:autoSpaceDE w:val="0"/>
              <w:autoSpaceDN w:val="0"/>
              <w:adjustRightInd w:val="0"/>
              <w:spacing w:after="180"/>
              <w:textAlignment w:val="baseline"/>
              <w:rPr>
                <w:rFonts w:eastAsia="Yu Mincho"/>
              </w:rPr>
            </w:pPr>
            <w:r>
              <w:rPr>
                <w:rFonts w:eastAsia="Yu Mincho"/>
              </w:rPr>
              <w:t>100% Outdoor</w:t>
            </w:r>
          </w:p>
        </w:tc>
        <w:tc>
          <w:tcPr>
            <w:tcW w:w="1838" w:type="pct"/>
            <w:vAlign w:val="center"/>
          </w:tcPr>
          <w:p>
            <w:pPr>
              <w:pStyle w:val="36"/>
              <w:overflowPunct w:val="0"/>
              <w:autoSpaceDE w:val="0"/>
              <w:autoSpaceDN w:val="0"/>
              <w:adjustRightInd w:val="0"/>
              <w:spacing w:after="180"/>
              <w:textAlignment w:val="baseline"/>
              <w:rPr>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pct"/>
            <w:vAlign w:val="center"/>
          </w:tcPr>
          <w:p>
            <w:pPr>
              <w:pStyle w:val="35"/>
              <w:overflowPunct w:val="0"/>
              <w:autoSpaceDE w:val="0"/>
              <w:autoSpaceDN w:val="0"/>
              <w:adjustRightInd w:val="0"/>
              <w:spacing w:after="180"/>
              <w:textAlignment w:val="baseline"/>
              <w:rPr>
                <w:rFonts w:eastAsia="Yu Mincho"/>
              </w:rPr>
            </w:pPr>
            <w:r>
              <w:rPr>
                <w:rFonts w:eastAsia="Yu Mincho"/>
              </w:rPr>
              <w:t>UE height in meter</w:t>
            </w:r>
          </w:p>
        </w:tc>
        <w:tc>
          <w:tcPr>
            <w:tcW w:w="1140" w:type="pct"/>
            <w:vAlign w:val="center"/>
          </w:tcPr>
          <w:p>
            <w:pPr>
              <w:pStyle w:val="35"/>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NA</w:t>
            </w:r>
          </w:p>
        </w:tc>
        <w:tc>
          <w:tcPr>
            <w:tcW w:w="1104" w:type="pct"/>
            <w:vAlign w:val="center"/>
          </w:tcPr>
          <w:p>
            <w:pPr>
              <w:pStyle w:val="35"/>
              <w:overflowPunct w:val="0"/>
              <w:autoSpaceDE w:val="0"/>
              <w:autoSpaceDN w:val="0"/>
              <w:adjustRightInd w:val="0"/>
              <w:spacing w:after="180"/>
              <w:textAlignment w:val="baseline"/>
              <w:rPr>
                <w:rFonts w:eastAsia="Yu Mincho"/>
              </w:rPr>
            </w:pPr>
            <w:r>
              <w:rPr>
                <w:rFonts w:eastAsia="Yu Mincho"/>
              </w:rPr>
              <w:t>1.5</w:t>
            </w:r>
          </w:p>
        </w:tc>
        <w:tc>
          <w:tcPr>
            <w:tcW w:w="1838" w:type="pct"/>
            <w:vAlign w:val="center"/>
          </w:tcPr>
          <w:p>
            <w:pPr>
              <w:pStyle w:val="36"/>
              <w:overflowPunct w:val="0"/>
              <w:autoSpaceDE w:val="0"/>
              <w:autoSpaceDN w:val="0"/>
              <w:adjustRightInd w:val="0"/>
              <w:spacing w:after="180"/>
              <w:textAlignment w:val="baseline"/>
              <w:rPr>
                <w:rFonts w:eastAsia="Yu Mincho"/>
              </w:rPr>
            </w:pPr>
            <w:r>
              <w:rPr>
                <w:rFonts w:eastAsia="Yu Mincho"/>
              </w:rPr>
              <w:t xml:space="preserve">RP-200559 [12] </w:t>
            </w:r>
            <w:r>
              <w:rPr>
                <w:rFonts w:hint="eastAsia" w:eastAsia="Yu Mincho"/>
              </w:rPr>
              <w:t>3</w:t>
            </w:r>
            <w:r>
              <w:rPr>
                <w:rFonts w:eastAsia="Yu Mincho"/>
              </w:rPr>
              <w:t>GPP LS to ITU-R WP5D and</w:t>
            </w:r>
            <w:r>
              <w:rPr>
                <w:rFonts w:hint="eastAsia" w:eastAsia="宋体"/>
                <w:lang w:val="en-US" w:eastAsia="zh-CN"/>
              </w:rPr>
              <w:t xml:space="preserve"> </w:t>
            </w:r>
            <w:r>
              <w:rPr>
                <w:rFonts w:eastAsia="Yu Mincho"/>
              </w:rPr>
              <w:t>ITU-R WP5D</w:t>
            </w:r>
          </w:p>
          <w:p>
            <w:pPr>
              <w:pStyle w:val="36"/>
              <w:overflowPunct w:val="0"/>
              <w:autoSpaceDE w:val="0"/>
              <w:autoSpaceDN w:val="0"/>
              <w:adjustRightInd w:val="0"/>
              <w:spacing w:after="180"/>
              <w:textAlignment w:val="baseline"/>
              <w:rPr>
                <w:rFonts w:eastAsia="Yu Mincho"/>
              </w:rPr>
            </w:pPr>
            <w:r>
              <w:rPr>
                <w:rFonts w:eastAsia="Yu Mincho"/>
              </w:rPr>
              <w:t>[IMT_</w:t>
            </w:r>
            <w:r>
              <w:rPr>
                <w:rFonts w:hint="eastAsia" w:eastAsia="Yu Mincho"/>
              </w:rPr>
              <w:t>Par</w:t>
            </w:r>
            <w:r>
              <w:rPr>
                <w:rFonts w:eastAsia="Yu Mincho"/>
              </w:rPr>
              <w:t>ameters] [13]</w:t>
            </w:r>
          </w:p>
        </w:tc>
      </w:tr>
    </w:tbl>
    <w:p>
      <w:pPr>
        <w:rPr>
          <w:rFonts w:eastAsia="宋体"/>
        </w:rPr>
      </w:pPr>
    </w:p>
    <w:p>
      <w:pPr>
        <w:jc w:val="center"/>
        <w:rPr>
          <w:rFonts w:hint="eastAsia"/>
          <w:b/>
          <w:bCs/>
          <w:sz w:val="20"/>
          <w:lang w:val="zh-CN" w:eastAsia="zh-CN"/>
        </w:rPr>
      </w:pPr>
      <w:r>
        <w:rPr>
          <w:rFonts w:hint="eastAsia"/>
          <w:b/>
          <w:bCs/>
          <w:sz w:val="20"/>
          <w:lang w:val="zh-CN" w:eastAsia="zh-CN"/>
        </w:rPr>
        <w:t>Table 2.2.</w:t>
      </w:r>
      <w:r>
        <w:rPr>
          <w:rFonts w:hint="eastAsia"/>
          <w:b/>
          <w:bCs/>
          <w:sz w:val="20"/>
          <w:lang w:val="en-US" w:eastAsia="zh-CN"/>
        </w:rPr>
        <w:t>3</w:t>
      </w:r>
      <w:r>
        <w:rPr>
          <w:rFonts w:hint="eastAsia"/>
          <w:b/>
          <w:bCs/>
          <w:sz w:val="20"/>
          <w:lang w:val="zh-CN" w:eastAsia="zh-CN"/>
        </w:rPr>
        <w:t xml:space="preserve">-3: ACLR/ACS for TN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1350"/>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gridSpan w:val="2"/>
            <w:shd w:val="clear" w:color="auto" w:fill="auto"/>
          </w:tcPr>
          <w:p>
            <w:pPr>
              <w:pStyle w:val="34"/>
            </w:pPr>
          </w:p>
        </w:tc>
        <w:tc>
          <w:tcPr>
            <w:tcW w:w="2610" w:type="dxa"/>
            <w:shd w:val="clear" w:color="auto" w:fill="auto"/>
          </w:tcPr>
          <w:p>
            <w:pPr>
              <w:pStyle w:val="34"/>
            </w:pPr>
            <w:r>
              <w:rPr>
                <w:rFonts w:hint="eastAsia"/>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pStyle w:val="35"/>
            </w:pPr>
            <w:r>
              <w:t>BS</w:t>
            </w:r>
          </w:p>
        </w:tc>
        <w:tc>
          <w:tcPr>
            <w:tcW w:w="1350" w:type="dxa"/>
            <w:shd w:val="clear" w:color="auto" w:fill="auto"/>
            <w:vAlign w:val="center"/>
          </w:tcPr>
          <w:p>
            <w:pPr>
              <w:pStyle w:val="35"/>
            </w:pPr>
            <w:r>
              <w:t>ACLR</w:t>
            </w:r>
          </w:p>
        </w:tc>
        <w:tc>
          <w:tcPr>
            <w:tcW w:w="2610" w:type="dxa"/>
            <w:shd w:val="clear" w:color="auto" w:fill="auto"/>
          </w:tcPr>
          <w:p>
            <w:pPr>
              <w:pStyle w:val="35"/>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pStyle w:val="35"/>
            </w:pPr>
          </w:p>
        </w:tc>
        <w:tc>
          <w:tcPr>
            <w:tcW w:w="1350" w:type="dxa"/>
            <w:shd w:val="clear" w:color="auto" w:fill="auto"/>
            <w:vAlign w:val="center"/>
          </w:tcPr>
          <w:p>
            <w:pPr>
              <w:pStyle w:val="35"/>
            </w:pPr>
            <w:r>
              <w:t>ACS</w:t>
            </w:r>
          </w:p>
        </w:tc>
        <w:tc>
          <w:tcPr>
            <w:tcW w:w="2610" w:type="dxa"/>
            <w:shd w:val="clear" w:color="auto" w:fill="auto"/>
          </w:tcPr>
          <w:p>
            <w:pPr>
              <w:pStyle w:val="35"/>
            </w:pPr>
            <w:r>
              <w:t>46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shd w:val="clear" w:color="auto" w:fill="auto"/>
            <w:vAlign w:val="center"/>
          </w:tcPr>
          <w:p>
            <w:pPr>
              <w:pStyle w:val="35"/>
            </w:pPr>
            <w:r>
              <w:t>UE</w:t>
            </w:r>
          </w:p>
        </w:tc>
        <w:tc>
          <w:tcPr>
            <w:tcW w:w="1350" w:type="dxa"/>
            <w:shd w:val="clear" w:color="auto" w:fill="auto"/>
            <w:vAlign w:val="center"/>
          </w:tcPr>
          <w:p>
            <w:pPr>
              <w:pStyle w:val="35"/>
            </w:pPr>
            <w:r>
              <w:t>ACLR</w:t>
            </w:r>
          </w:p>
        </w:tc>
        <w:tc>
          <w:tcPr>
            <w:tcW w:w="2610" w:type="dxa"/>
            <w:shd w:val="clear" w:color="auto" w:fill="auto"/>
          </w:tcPr>
          <w:p>
            <w:pPr>
              <w:pStyle w:val="35"/>
            </w:pPr>
            <w:r>
              <w:t>30dB (ACLR1)</w:t>
            </w:r>
          </w:p>
          <w:p>
            <w:pPr>
              <w:pStyle w:val="35"/>
            </w:pPr>
            <w:r>
              <w:t>43dB (ACLR2)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shd w:val="clear" w:color="auto" w:fill="auto"/>
            <w:vAlign w:val="center"/>
          </w:tcPr>
          <w:p>
            <w:pPr>
              <w:pStyle w:val="35"/>
            </w:pPr>
          </w:p>
        </w:tc>
        <w:tc>
          <w:tcPr>
            <w:tcW w:w="1350" w:type="dxa"/>
            <w:shd w:val="clear" w:color="auto" w:fill="auto"/>
            <w:vAlign w:val="center"/>
          </w:tcPr>
          <w:p>
            <w:pPr>
              <w:pStyle w:val="35"/>
            </w:pPr>
            <w:r>
              <w:t>ACS</w:t>
            </w:r>
          </w:p>
        </w:tc>
        <w:tc>
          <w:tcPr>
            <w:tcW w:w="2610" w:type="dxa"/>
            <w:shd w:val="clear" w:color="auto" w:fill="auto"/>
          </w:tcPr>
          <w:p>
            <w:pPr>
              <w:pStyle w:val="35"/>
            </w:pPr>
            <w:r>
              <w:t>33</w:t>
            </w:r>
          </w:p>
        </w:tc>
      </w:tr>
    </w:tbl>
    <w:p>
      <w:pPr>
        <w:rPr>
          <w:lang w:eastAsia="zh-CN"/>
        </w:rPr>
      </w:pPr>
    </w:p>
    <w:p>
      <w:pPr>
        <w:spacing w:after="120"/>
        <w:rPr>
          <w:rFonts w:hint="default" w:eastAsia="宋体"/>
          <w:lang w:val="en-US" w:eastAsia="zh-CN"/>
        </w:rPr>
      </w:pPr>
      <w:r>
        <w:rPr>
          <w:rFonts w:hint="eastAsia" w:eastAsia="宋体"/>
          <w:lang w:val="en-US" w:eastAsia="zh-CN"/>
        </w:rPr>
        <w:t>As shown in the following figure</w:t>
      </w:r>
      <w:r>
        <w:rPr>
          <w:rFonts w:hint="eastAsia"/>
          <w:lang w:val="en-US" w:eastAsia="zh-CN"/>
        </w:rPr>
        <w:t xml:space="preserve"> 2.3.3-1</w:t>
      </w:r>
      <w:r>
        <w:rPr>
          <w:rFonts w:hint="eastAsia" w:eastAsia="宋体"/>
          <w:lang w:val="en-US" w:eastAsia="zh-CN"/>
        </w:rPr>
        <w:t xml:space="preserve">, </w:t>
      </w:r>
      <w:r>
        <w:rPr>
          <w:rFonts w:hint="eastAsia"/>
          <w:lang w:val="en-US" w:eastAsia="zh-CN"/>
        </w:rPr>
        <w:t xml:space="preserve">since ISD of ATG BS is relatively large and only one ATG CPE is active in one time. Therefore we only need to consider the TN BS around ATG BS as shown in the following Figure. </w:t>
      </w:r>
    </w:p>
    <w:p>
      <w:pPr>
        <w:rPr>
          <w:lang w:eastAsia="zh-CN"/>
        </w:rPr>
      </w:pPr>
    </w:p>
    <w:p>
      <w:pPr>
        <w:pStyle w:val="40"/>
        <w:ind w:left="0" w:leftChars="0" w:firstLine="0" w:firstLineChars="0"/>
        <w:jc w:val="center"/>
      </w:pPr>
      <w:r>
        <w:drawing>
          <wp:inline distT="0" distB="0" distL="114300" distR="114300">
            <wp:extent cx="5270500" cy="3642995"/>
            <wp:effectExtent l="0" t="0" r="6350" b="1460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a:stretch>
                      <a:fillRect/>
                    </a:stretch>
                  </pic:blipFill>
                  <pic:spPr>
                    <a:xfrm>
                      <a:off x="0" y="0"/>
                      <a:ext cx="5270500" cy="3642995"/>
                    </a:xfrm>
                    <a:prstGeom prst="rect">
                      <a:avLst/>
                    </a:prstGeom>
                    <a:noFill/>
                    <a:ln>
                      <a:noFill/>
                    </a:ln>
                  </pic:spPr>
                </pic:pic>
              </a:graphicData>
            </a:graphic>
          </wp:inline>
        </w:drawing>
      </w:r>
    </w:p>
    <w:p>
      <w:pPr>
        <w:pStyle w:val="44"/>
        <w:rPr>
          <w:rFonts w:hint="default" w:ascii="Times New Roman" w:hAnsi="Times New Roman" w:eastAsia="宋体" w:cs="Times New Roman"/>
          <w:b/>
          <w:bCs/>
          <w:kern w:val="2"/>
          <w:sz w:val="20"/>
          <w:szCs w:val="22"/>
          <w:lang w:val="en-US" w:eastAsia="zh-CN" w:bidi="ar-SA"/>
        </w:rPr>
      </w:pPr>
      <w:r>
        <w:rPr>
          <w:rFonts w:hint="eastAsia" w:ascii="Times New Roman" w:hAnsi="Times New Roman" w:eastAsia="宋体" w:cs="Times New Roman"/>
          <w:b/>
          <w:bCs/>
          <w:kern w:val="2"/>
          <w:sz w:val="20"/>
          <w:szCs w:val="22"/>
          <w:lang w:val="en-US" w:eastAsia="zh-CN" w:bidi="ar-SA"/>
        </w:rPr>
        <w:t>Figure 2.3.3-1. ATG network coexisting with terrestrial network [Rural area]</w:t>
      </w:r>
    </w:p>
    <w:p>
      <w:pPr>
        <w:rPr>
          <w:lang w:eastAsia="zh-CN"/>
        </w:rPr>
      </w:pP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r>
        <w:rPr>
          <w:rFonts w:cs="Arial"/>
          <w:b w:val="0"/>
          <w:bCs w:val="0"/>
        </w:rPr>
        <w:t>2.2.</w:t>
      </w:r>
      <w:r>
        <w:rPr>
          <w:rFonts w:hint="eastAsia" w:cs="Arial"/>
          <w:b w:val="0"/>
          <w:bCs w:val="0"/>
          <w:lang w:val="en-US" w:eastAsia="zh-CN"/>
        </w:rPr>
        <w:t>4</w:t>
      </w:r>
      <w:r>
        <w:rPr>
          <w:rFonts w:cs="Arial"/>
          <w:b w:val="0"/>
          <w:bCs w:val="0"/>
        </w:rPr>
        <w:tab/>
      </w:r>
      <w:r>
        <w:rPr>
          <w:rFonts w:cs="Arial"/>
          <w:b w:val="0"/>
          <w:bCs w:val="0"/>
        </w:rPr>
        <w:t>TN</w:t>
      </w:r>
      <w:r>
        <w:rPr>
          <w:rFonts w:hint="eastAsia" w:cs="Arial"/>
          <w:b w:val="0"/>
          <w:bCs w:val="0"/>
          <w:lang w:val="en-US" w:eastAsia="zh-CN"/>
        </w:rPr>
        <w:t xml:space="preserve"> UE</w:t>
      </w:r>
      <w:r>
        <w:rPr>
          <w:rFonts w:cs="Arial"/>
          <w:b w:val="0"/>
          <w:bCs w:val="0"/>
        </w:rPr>
        <w:t xml:space="preserve"> parameters</w:t>
      </w:r>
    </w:p>
    <w:p>
      <w:pPr>
        <w:snapToGrid w:val="0"/>
        <w:rPr>
          <w:rFonts w:eastAsia="等线"/>
          <w:b/>
          <w:sz w:val="18"/>
          <w:szCs w:val="15"/>
          <w:u w:val="single"/>
        </w:rPr>
      </w:pPr>
      <w:r>
        <w:rPr>
          <w:rFonts w:hint="eastAsia" w:eastAsia="宋体"/>
          <w:lang w:val="en-US" w:eastAsia="zh-CN"/>
        </w:rPr>
        <w:t>TN</w:t>
      </w:r>
      <w:r>
        <w:rPr>
          <w:rFonts w:eastAsia="宋体"/>
        </w:rPr>
        <w:t xml:space="preserve"> UE parameters are given </w:t>
      </w:r>
      <w:r>
        <w:rPr>
          <w:rFonts w:hint="eastAsia" w:eastAsia="宋体"/>
        </w:rPr>
        <w:t xml:space="preserve">in Table </w:t>
      </w:r>
      <w:r>
        <w:rPr>
          <w:rFonts w:eastAsia="宋体"/>
        </w:rPr>
        <w:t>2.2.</w:t>
      </w:r>
      <w:r>
        <w:rPr>
          <w:rFonts w:hint="eastAsia" w:eastAsia="宋体"/>
          <w:lang w:val="en-US" w:eastAsia="zh-CN"/>
        </w:rPr>
        <w:t>4</w:t>
      </w:r>
      <w:r>
        <w:rPr>
          <w:rFonts w:hint="eastAsia" w:eastAsia="宋体"/>
        </w:rPr>
        <w:t>-</w:t>
      </w:r>
      <w:r>
        <w:rPr>
          <w:rFonts w:eastAsia="宋体"/>
        </w:rPr>
        <w:t>1</w:t>
      </w:r>
    </w:p>
    <w:p>
      <w:pPr>
        <w:pStyle w:val="44"/>
        <w:rPr>
          <w:rFonts w:hint="eastAsia" w:ascii="Times New Roman" w:hAnsi="Times New Roman" w:eastAsia="宋体" w:cs="Times New Roman"/>
          <w:b/>
          <w:bCs/>
          <w:kern w:val="2"/>
          <w:sz w:val="20"/>
          <w:szCs w:val="22"/>
          <w:lang w:val="zh-CN" w:eastAsia="zh-CN" w:bidi="ar-SA"/>
        </w:rPr>
      </w:pPr>
      <w:r>
        <w:rPr>
          <w:rFonts w:hint="eastAsia" w:ascii="Times New Roman" w:hAnsi="Times New Roman" w:eastAsia="宋体" w:cs="Times New Roman"/>
          <w:b/>
          <w:bCs/>
          <w:kern w:val="2"/>
          <w:sz w:val="20"/>
          <w:szCs w:val="22"/>
          <w:lang w:val="zh-CN" w:eastAsia="zh-CN" w:bidi="ar-SA"/>
        </w:rPr>
        <w:t>Table 2.2.</w:t>
      </w:r>
      <w:r>
        <w:rPr>
          <w:rFonts w:hint="eastAsia" w:ascii="Times New Roman" w:hAnsi="Times New Roman" w:eastAsia="宋体" w:cs="Times New Roman"/>
          <w:b/>
          <w:bCs/>
          <w:kern w:val="2"/>
          <w:sz w:val="20"/>
          <w:szCs w:val="22"/>
          <w:lang w:val="en-US" w:eastAsia="zh-CN" w:bidi="ar-SA"/>
        </w:rPr>
        <w:t>4</w:t>
      </w:r>
      <w:r>
        <w:rPr>
          <w:rFonts w:hint="eastAsia" w:ascii="Times New Roman" w:hAnsi="Times New Roman" w:eastAsia="宋体" w:cs="Times New Roman"/>
          <w:b/>
          <w:bCs/>
          <w:kern w:val="2"/>
          <w:sz w:val="20"/>
          <w:szCs w:val="22"/>
          <w:lang w:val="zh-CN" w:eastAsia="zh-CN" w:bidi="ar-SA"/>
        </w:rPr>
        <w:t xml:space="preserve">-1: </w:t>
      </w:r>
      <w:r>
        <w:rPr>
          <w:rFonts w:hint="eastAsia" w:ascii="Times New Roman" w:hAnsi="Times New Roman" w:eastAsia="宋体" w:cs="Times New Roman"/>
          <w:b/>
          <w:bCs/>
          <w:kern w:val="2"/>
          <w:sz w:val="20"/>
          <w:szCs w:val="22"/>
          <w:lang w:val="en-US" w:eastAsia="zh-CN" w:bidi="ar-SA"/>
        </w:rPr>
        <w:t xml:space="preserve">TN </w:t>
      </w:r>
      <w:r>
        <w:rPr>
          <w:rFonts w:hint="eastAsia" w:ascii="Times New Roman" w:hAnsi="Times New Roman" w:eastAsia="宋体" w:cs="Times New Roman"/>
          <w:b/>
          <w:bCs/>
          <w:kern w:val="2"/>
          <w:sz w:val="20"/>
          <w:szCs w:val="22"/>
          <w:lang w:val="zh-CN" w:eastAsia="zh-CN" w:bidi="ar-SA"/>
        </w:rPr>
        <w:t>UE characteristics for system level simulations</w:t>
      </w:r>
    </w:p>
    <w:tbl>
      <w:tblPr>
        <w:tblStyle w:val="23"/>
        <w:tblW w:w="31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2"/>
        <w:gridCol w:w="3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4"/>
            </w:pPr>
            <w:r>
              <w:t>Characteristics</w:t>
            </w:r>
          </w:p>
        </w:tc>
        <w:tc>
          <w:tcPr>
            <w:tcW w:w="2834" w:type="pct"/>
            <w:shd w:val="clear" w:color="auto" w:fill="auto"/>
          </w:tcPr>
          <w:p>
            <w:pPr>
              <w:pStyle w:val="34"/>
              <w:jc w:val="center"/>
              <w:rPr>
                <w:rFonts w:hint="default" w:eastAsiaTheme="minorEastAsia"/>
                <w:lang w:val="en-US" w:eastAsia="zh-CN"/>
              </w:rPr>
            </w:pPr>
            <w:r>
              <w:rPr>
                <w:rFonts w:hint="eastAsia"/>
                <w:lang w:val="en-US" w:eastAsia="zh-CN"/>
              </w:rPr>
              <w:t>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pPr>
            <w:r>
              <w:t>Frequency band</w:t>
            </w:r>
          </w:p>
        </w:tc>
        <w:tc>
          <w:tcPr>
            <w:tcW w:w="2834" w:type="pct"/>
            <w:shd w:val="clear" w:color="auto" w:fill="auto"/>
          </w:tcPr>
          <w:p>
            <w:pPr>
              <w:pStyle w:val="36"/>
              <w:rPr>
                <w:rFonts w:hint="default" w:eastAsiaTheme="minorEastAsia"/>
                <w:lang w:val="en-US" w:eastAsia="zh-CN"/>
              </w:rPr>
            </w:pPr>
            <w:r>
              <w:rPr>
                <w:rFonts w:hint="eastAsia"/>
                <w:lang w:val="en-US" w:eastAsia="zh-CN"/>
              </w:rPr>
              <w:t>2.1GHz, 3.5GHz and 4.9GHz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Antenna type and configuration</w:t>
            </w:r>
          </w:p>
        </w:tc>
        <w:tc>
          <w:tcPr>
            <w:tcW w:w="3081" w:type="dxa"/>
            <w:shd w:val="clear" w:color="auto" w:fill="auto"/>
            <w:vAlign w:val="top"/>
          </w:tcPr>
          <w:p>
            <w:pPr>
              <w:pStyle w:val="36"/>
              <w:rPr>
                <w:color w:val="auto"/>
              </w:rPr>
            </w:pPr>
            <w:r>
              <w:rPr>
                <w:color w:val="auto"/>
              </w:rPr>
              <w:t>(1, 1, 2) with omni-directional antenna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Polarisation</w:t>
            </w:r>
          </w:p>
        </w:tc>
        <w:tc>
          <w:tcPr>
            <w:tcW w:w="3081" w:type="dxa"/>
            <w:shd w:val="clear" w:color="auto" w:fill="auto"/>
            <w:vAlign w:val="top"/>
          </w:tcPr>
          <w:p>
            <w:pPr>
              <w:pStyle w:val="36"/>
              <w:rPr>
                <w:color w:val="auto"/>
              </w:rPr>
            </w:pPr>
            <w:r>
              <w:rPr>
                <w:color w:val="auto"/>
              </w:rPr>
              <w:t>Linear: +/-45°X-pol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 xml:space="preserve">Rx Antenna gain </w:t>
            </w:r>
          </w:p>
        </w:tc>
        <w:tc>
          <w:tcPr>
            <w:tcW w:w="3081" w:type="dxa"/>
            <w:shd w:val="clear" w:color="auto" w:fill="auto"/>
            <w:vAlign w:val="top"/>
          </w:tcPr>
          <w:p>
            <w:pPr>
              <w:pStyle w:val="36"/>
              <w:rPr>
                <w:color w:val="auto"/>
              </w:rPr>
            </w:pPr>
            <w:r>
              <w:rPr>
                <w:color w:val="auto"/>
              </w:rPr>
              <w:t>0 dBi per element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Antenna temperature</w:t>
            </w:r>
          </w:p>
        </w:tc>
        <w:tc>
          <w:tcPr>
            <w:tcW w:w="3081" w:type="dxa"/>
            <w:shd w:val="clear" w:color="auto" w:fill="auto"/>
            <w:vAlign w:val="top"/>
          </w:tcPr>
          <w:p>
            <w:pPr>
              <w:pStyle w:val="36"/>
              <w:rPr>
                <w:color w:val="auto"/>
              </w:rPr>
            </w:pPr>
            <w:r>
              <w:rPr>
                <w:color w:val="auto"/>
              </w:rPr>
              <w:t>290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Noise figure</w:t>
            </w:r>
          </w:p>
        </w:tc>
        <w:tc>
          <w:tcPr>
            <w:tcW w:w="3081" w:type="dxa"/>
            <w:shd w:val="clear" w:color="auto" w:fill="auto"/>
            <w:vAlign w:val="top"/>
          </w:tcPr>
          <w:p>
            <w:pPr>
              <w:pStyle w:val="36"/>
              <w:rPr>
                <w:color w:val="auto"/>
              </w:rPr>
            </w:pPr>
            <w:r>
              <w:rPr>
                <w:color w:val="auto"/>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Tx transmit power</w:t>
            </w:r>
          </w:p>
        </w:tc>
        <w:tc>
          <w:tcPr>
            <w:tcW w:w="3081" w:type="dxa"/>
            <w:shd w:val="clear" w:color="auto" w:fill="auto"/>
            <w:vAlign w:val="top"/>
          </w:tcPr>
          <w:p>
            <w:pPr>
              <w:pStyle w:val="36"/>
              <w:rPr>
                <w:rFonts w:hint="default" w:eastAsiaTheme="minorEastAsia"/>
                <w:color w:val="auto"/>
                <w:lang w:val="en-US" w:eastAsia="zh-CN"/>
              </w:rPr>
            </w:pPr>
            <w:r>
              <w:rPr>
                <w:color w:val="auto"/>
              </w:rPr>
              <w:t>200 mW (23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5" w:type="pct"/>
            <w:shd w:val="clear" w:color="auto" w:fill="auto"/>
          </w:tcPr>
          <w:p>
            <w:pPr>
              <w:pStyle w:val="36"/>
              <w:rPr>
                <w:color w:val="auto"/>
              </w:rPr>
            </w:pPr>
            <w:r>
              <w:rPr>
                <w:color w:val="auto"/>
              </w:rPr>
              <w:t>Tx antenna gain</w:t>
            </w:r>
          </w:p>
        </w:tc>
        <w:tc>
          <w:tcPr>
            <w:tcW w:w="3081" w:type="dxa"/>
            <w:shd w:val="clear" w:color="auto" w:fill="auto"/>
            <w:vAlign w:val="top"/>
          </w:tcPr>
          <w:p>
            <w:pPr>
              <w:pStyle w:val="36"/>
              <w:rPr>
                <w:rFonts w:hint="default" w:eastAsiaTheme="minorEastAsia"/>
                <w:color w:val="auto"/>
                <w:lang w:val="en-US" w:eastAsia="zh-CN"/>
              </w:rPr>
            </w:pPr>
            <w:r>
              <w:rPr>
                <w:color w:val="auto"/>
              </w:rPr>
              <w:t>0 dBi per element</w:t>
            </w:r>
          </w:p>
        </w:tc>
      </w:tr>
    </w:tbl>
    <w:p>
      <w:pPr>
        <w:pStyle w:val="40"/>
        <w:bidi w:val="0"/>
        <w:ind w:left="0" w:leftChars="0" w:firstLine="0" w:firstLineChars="0"/>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20" w:name="_Toc104122352"/>
      <w:bookmarkStart w:id="21" w:name="_Toc104502870"/>
      <w:bookmarkStart w:id="22" w:name="_Toc94170348"/>
      <w:bookmarkStart w:id="23" w:name="_Toc104210158"/>
      <w:r>
        <w:rPr>
          <w:rFonts w:hint="eastAsia" w:ascii="Arial" w:hAnsi="Arial" w:cs="Arial"/>
          <w:sz w:val="28"/>
          <w:szCs w:val="28"/>
          <w:lang w:val="en-US" w:eastAsia="zh-CN"/>
        </w:rPr>
        <w:t>2.3.  Antenna and beamforming pattern modelling</w:t>
      </w:r>
      <w:bookmarkEnd w:id="20"/>
      <w:bookmarkEnd w:id="21"/>
      <w:bookmarkEnd w:id="22"/>
      <w:bookmarkEnd w:id="23"/>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24" w:name="_Toc94170350"/>
      <w:bookmarkStart w:id="25" w:name="_Toc104210160"/>
      <w:bookmarkStart w:id="26" w:name="_Toc87889249"/>
      <w:bookmarkStart w:id="27" w:name="_Toc104502872"/>
      <w:bookmarkStart w:id="28" w:name="_Toc104122354"/>
      <w:r>
        <w:rPr>
          <w:rFonts w:cs="Arial"/>
          <w:b w:val="0"/>
          <w:bCs w:val="0"/>
        </w:rPr>
        <w:t>2.3.</w:t>
      </w:r>
      <w:r>
        <w:rPr>
          <w:rFonts w:hint="eastAsia" w:cs="Arial"/>
          <w:b w:val="0"/>
          <w:bCs w:val="0"/>
          <w:lang w:val="en-US" w:eastAsia="zh-CN"/>
        </w:rPr>
        <w:t>1</w:t>
      </w:r>
      <w:r>
        <w:rPr>
          <w:rFonts w:cs="Arial"/>
          <w:b w:val="0"/>
          <w:bCs w:val="0"/>
        </w:rPr>
        <w:tab/>
      </w:r>
      <w:r>
        <w:rPr>
          <w:rFonts w:hint="eastAsia" w:cs="Arial"/>
          <w:b w:val="0"/>
          <w:bCs w:val="0"/>
          <w:lang w:val="en-US" w:eastAsia="zh-CN"/>
        </w:rPr>
        <w:t>ATG BS</w:t>
      </w:r>
      <w:r>
        <w:rPr>
          <w:rFonts w:cs="Arial"/>
          <w:b w:val="0"/>
          <w:bCs w:val="0"/>
        </w:rPr>
        <w:t xml:space="preserve"> and UE antenna and beam forming pattern modelling</w:t>
      </w:r>
    </w:p>
    <w:p>
      <w:pPr>
        <w:spacing w:after="120"/>
        <w:rPr>
          <w:rFonts w:eastAsia="等线"/>
        </w:rPr>
      </w:pPr>
      <w:r>
        <w:rPr>
          <w:rFonts w:eastAsia="宋体"/>
        </w:rPr>
        <w:t>For AAS antenna</w:t>
      </w:r>
      <w:r>
        <w:rPr>
          <w:rFonts w:hint="eastAsia" w:eastAsia="宋体"/>
          <w:lang w:val="en-US" w:eastAsia="zh-CN"/>
        </w:rPr>
        <w:t xml:space="preserve"> for ATG BS</w:t>
      </w:r>
      <w:r>
        <w:rPr>
          <w:rFonts w:eastAsia="宋体"/>
        </w:rPr>
        <w:t xml:space="preserve">, </w:t>
      </w:r>
      <w:r>
        <w:rPr>
          <w:rFonts w:hint="eastAsia" w:eastAsia="宋体"/>
        </w:rPr>
        <w:t>it</w:t>
      </w:r>
      <w:r>
        <w:rPr>
          <w:rFonts w:eastAsia="等线"/>
        </w:rPr>
        <w:t xml:space="preserve"> refer</w:t>
      </w:r>
      <w:r>
        <w:rPr>
          <w:rFonts w:hint="eastAsia" w:eastAsia="等线"/>
        </w:rPr>
        <w:t>s</w:t>
      </w:r>
      <w:r>
        <w:rPr>
          <w:rFonts w:eastAsia="等线"/>
        </w:rPr>
        <w:t xml:space="preserve"> to the pattern in TR 38.921</w:t>
      </w:r>
      <w:r>
        <w:rPr>
          <w:rFonts w:hint="eastAsia" w:eastAsia="等线"/>
        </w:rPr>
        <w:t>.</w:t>
      </w:r>
    </w:p>
    <w:p>
      <w:pPr>
        <w:pStyle w:val="44"/>
        <w:rPr>
          <w:rFonts w:hint="default" w:ascii="Times New Roman" w:hAnsi="Times New Roman" w:eastAsia="宋体" w:cs="Times New Roman"/>
          <w:b/>
          <w:bCs/>
          <w:kern w:val="2"/>
          <w:sz w:val="20"/>
          <w:szCs w:val="22"/>
          <w:lang w:val="en-US" w:eastAsia="zh-CN" w:bidi="ar-SA"/>
        </w:rPr>
      </w:pPr>
      <w:r>
        <w:rPr>
          <w:rFonts w:hint="eastAsia" w:ascii="Times New Roman" w:hAnsi="Times New Roman" w:eastAsia="宋体" w:cs="Times New Roman"/>
          <w:b/>
          <w:bCs/>
          <w:kern w:val="2"/>
          <w:sz w:val="20"/>
          <w:szCs w:val="22"/>
          <w:lang w:val="zh-CN" w:eastAsia="zh-CN" w:bidi="ar-SA"/>
        </w:rPr>
        <w:t>Table 2.3.</w:t>
      </w:r>
      <w:r>
        <w:rPr>
          <w:rFonts w:hint="eastAsia" w:ascii="Times New Roman" w:hAnsi="Times New Roman" w:cs="Times New Roman"/>
          <w:b/>
          <w:bCs/>
          <w:kern w:val="2"/>
          <w:sz w:val="20"/>
          <w:szCs w:val="22"/>
          <w:lang w:val="en-US" w:eastAsia="zh-CN" w:bidi="ar-SA"/>
        </w:rPr>
        <w:t>1</w:t>
      </w:r>
      <w:r>
        <w:rPr>
          <w:rFonts w:hint="eastAsia" w:ascii="Times New Roman" w:hAnsi="Times New Roman" w:eastAsia="宋体" w:cs="Times New Roman"/>
          <w:b/>
          <w:bCs/>
          <w:kern w:val="2"/>
          <w:sz w:val="20"/>
          <w:szCs w:val="22"/>
          <w:lang w:val="zh-CN" w:eastAsia="zh-CN" w:bidi="ar-SA"/>
        </w:rPr>
        <w:t xml:space="preserve">-1: AAS antenna parameters for </w:t>
      </w:r>
      <w:r>
        <w:rPr>
          <w:rFonts w:hint="eastAsia" w:ascii="Times New Roman" w:hAnsi="Times New Roman" w:eastAsia="宋体" w:cs="Times New Roman"/>
          <w:b/>
          <w:bCs/>
          <w:kern w:val="2"/>
          <w:sz w:val="20"/>
          <w:szCs w:val="22"/>
          <w:lang w:val="en-US" w:eastAsia="zh-CN" w:bidi="ar-SA"/>
        </w:rPr>
        <w:t>ATG BS at 2.1GHz, 3.5GHz and 4.9GHz</w:t>
      </w:r>
    </w:p>
    <w:tbl>
      <w:tblPr>
        <w:tblStyle w:val="23"/>
        <w:tblW w:w="40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754"/>
        <w:gridCol w:w="2320"/>
        <w:gridCol w:w="2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p>
        </w:tc>
        <w:tc>
          <w:tcPr>
            <w:tcW w:w="170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p>
        </w:tc>
        <w:tc>
          <w:tcPr>
            <w:tcW w:w="1440" w:type="pct"/>
            <w:tcBorders>
              <w:top w:val="single" w:color="auto" w:sz="4" w:space="0"/>
              <w:left w:val="single" w:color="auto" w:sz="4" w:space="0"/>
              <w:bottom w:val="single" w:color="auto" w:sz="4" w:space="0"/>
              <w:right w:val="single" w:color="auto" w:sz="4" w:space="0"/>
            </w:tcBorders>
            <w:vAlign w:val="center"/>
          </w:tcPr>
          <w:p>
            <w:pPr>
              <w:pStyle w:val="34"/>
            </w:pPr>
            <w:r>
              <w:t>Rural</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r>
              <w:t>1</w:t>
            </w:r>
          </w:p>
        </w:tc>
        <w:tc>
          <w:tcPr>
            <w:tcW w:w="4589"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35"/>
            </w:pPr>
            <w:r>
              <w:rPr>
                <w:rFonts w:hint="eastAsia"/>
                <w:lang w:val="en-US" w:eastAsia="zh-CN"/>
              </w:rPr>
              <w:t xml:space="preserve">ATG BS </w:t>
            </w:r>
            <w:r>
              <w:t>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1.1</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Antenna pattern</w:t>
            </w:r>
          </w:p>
        </w:tc>
        <w:tc>
          <w:tcPr>
            <w:tcW w:w="2879" w:type="pct"/>
            <w:gridSpan w:val="2"/>
            <w:tcBorders>
              <w:top w:val="single" w:color="auto" w:sz="4" w:space="0"/>
              <w:left w:val="single" w:color="auto" w:sz="4" w:space="0"/>
              <w:bottom w:val="single" w:color="auto" w:sz="4" w:space="0"/>
              <w:right w:val="single" w:color="auto" w:sz="4" w:space="0"/>
            </w:tcBorders>
          </w:tcPr>
          <w:p>
            <w:pPr>
              <w:pStyle w:val="35"/>
            </w:pPr>
            <w:r>
              <w:t>TR 38.921[14]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1.2</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Element gain (dBi) </w:t>
            </w:r>
            <w:r>
              <w:rPr>
                <w:vertAlign w:val="superscript"/>
              </w:rPr>
              <w:t>(Note 2)</w:t>
            </w:r>
          </w:p>
        </w:tc>
        <w:tc>
          <w:tcPr>
            <w:tcW w:w="2879" w:type="pct"/>
            <w:gridSpan w:val="2"/>
            <w:tcBorders>
              <w:top w:val="single" w:color="auto" w:sz="4" w:space="0"/>
              <w:left w:val="single" w:color="auto" w:sz="4" w:space="0"/>
              <w:bottom w:val="single" w:color="auto" w:sz="4" w:space="0"/>
              <w:right w:val="single" w:color="auto" w:sz="4" w:space="0"/>
            </w:tcBorders>
            <w:vAlign w:val="center"/>
          </w:tcPr>
          <w:p>
            <w:pPr>
              <w:pStyle w:val="35"/>
            </w:pPr>
            <w: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1.3</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3 dB beam width of single element (degree) </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90º for H</w:t>
            </w:r>
          </w:p>
          <w:p>
            <w:pPr>
              <w:pStyle w:val="35"/>
            </w:pPr>
            <w:r>
              <w:t>54º for V</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1.4</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Horizontal/vertical front</w:t>
            </w:r>
            <w:r>
              <w:noBreakHyphen/>
            </w:r>
            <w:r>
              <w:t>to</w:t>
            </w:r>
            <w:r>
              <w:noBreakHyphen/>
            </w:r>
            <w:r>
              <w:t>back ratio (dB)</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30 for both H/V</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1.5</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polarization </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Linear ±45º</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1.6</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array configuration (Row × Column) </w:t>
            </w:r>
            <w:r>
              <w:br w:type="textWrapping"/>
            </w:r>
            <w:r>
              <w:rPr>
                <w:vertAlign w:val="superscript"/>
              </w:rPr>
              <w:t>(Note 4)</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8 × 8 elements</w:t>
            </w:r>
          </w:p>
        </w:tc>
        <w:tc>
          <w:tcPr>
            <w:tcW w:w="1439" w:type="pct"/>
            <w:tcBorders>
              <w:top w:val="single" w:color="auto" w:sz="4" w:space="0"/>
              <w:left w:val="single" w:color="auto" w:sz="4" w:space="0"/>
              <w:bottom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1.7</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radiating element spacing </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0.5 of wavelength for H, 0.9 of wavelength for V</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1.8</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Array Ohmic loss (dB) </w:t>
            </w:r>
            <w:r>
              <w:rPr>
                <w:vertAlign w:val="superscript"/>
              </w:rPr>
              <w:t>(Note 2)</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2</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1.9</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Conducted power (before Ohmic loss) per antenna element (dBm) </w:t>
            </w:r>
            <w:r>
              <w:rPr>
                <w:vertAlign w:val="superscript"/>
              </w:rPr>
              <w:t>(Note 3)</w:t>
            </w:r>
            <w:r>
              <w:t xml:space="preserve"> </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25</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1.10</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Base station maximum coverage angle in the horizontal plane (degrees)</w:t>
            </w:r>
          </w:p>
        </w:tc>
        <w:tc>
          <w:tcPr>
            <w:tcW w:w="1440" w:type="pct"/>
            <w:tcBorders>
              <w:top w:val="single" w:color="auto" w:sz="4" w:space="0"/>
              <w:left w:val="single" w:color="auto" w:sz="4" w:space="0"/>
              <w:bottom w:val="single" w:color="auto" w:sz="4" w:space="0"/>
              <w:right w:val="single" w:color="auto" w:sz="4" w:space="0"/>
            </w:tcBorders>
            <w:vAlign w:val="center"/>
          </w:tcPr>
          <w:p>
            <w:pPr>
              <w:pStyle w:val="35"/>
            </w:pPr>
            <w:r>
              <w:t>120</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0" w:type="pct"/>
            <w:tcBorders>
              <w:top w:val="single" w:color="auto" w:sz="4" w:space="0"/>
              <w:left w:val="single" w:color="auto" w:sz="4" w:space="0"/>
              <w:bottom w:val="single" w:color="auto" w:sz="4" w:space="0"/>
              <w:right w:val="single" w:color="auto" w:sz="4" w:space="0"/>
            </w:tcBorders>
            <w:shd w:val="clear" w:color="auto" w:fill="auto"/>
          </w:tcPr>
          <w:p>
            <w:pPr>
              <w:pStyle w:val="36"/>
            </w:pPr>
            <w:r>
              <w:t>1.12</w:t>
            </w:r>
          </w:p>
        </w:tc>
        <w:tc>
          <w:tcPr>
            <w:tcW w:w="1709"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Mechanical </w:t>
            </w:r>
            <w:r>
              <w:rPr>
                <w:rFonts w:hint="eastAsia"/>
                <w:lang w:val="en-US" w:eastAsia="zh-CN"/>
              </w:rPr>
              <w:t>up-</w:t>
            </w:r>
            <w:r>
              <w:t>tilt (degrees)</w:t>
            </w:r>
          </w:p>
        </w:tc>
        <w:tc>
          <w:tcPr>
            <w:tcW w:w="1440" w:type="pct"/>
            <w:tcBorders>
              <w:top w:val="single" w:color="auto" w:sz="4" w:space="0"/>
              <w:left w:val="single" w:color="auto" w:sz="4" w:space="0"/>
              <w:bottom w:val="single" w:color="auto" w:sz="4" w:space="0"/>
              <w:right w:val="single" w:color="auto" w:sz="4" w:space="0"/>
            </w:tcBorders>
            <w:vAlign w:val="center"/>
          </w:tcPr>
          <w:p>
            <w:pPr>
              <w:pStyle w:val="36"/>
              <w:rPr>
                <w:rFonts w:hint="default"/>
                <w:lang w:val="zh-CN"/>
              </w:rPr>
            </w:pPr>
            <w:r>
              <w:rPr>
                <w:rFonts w:hint="eastAsia"/>
                <w:lang w:val="zh-CN"/>
              </w:rPr>
              <w:t xml:space="preserve">20 </w:t>
            </w:r>
            <w:r>
              <w:rPr>
                <w:rFonts w:hint="default"/>
                <w:lang w:val="zh-CN"/>
              </w:rPr>
              <w:t>degree 50-70km ISD</w:t>
            </w:r>
          </w:p>
          <w:p>
            <w:pPr>
              <w:pStyle w:val="36"/>
              <w:rPr>
                <w:rFonts w:hint="default"/>
                <w:lang w:val="zh-CN"/>
              </w:rPr>
            </w:pPr>
            <w:r>
              <w:rPr>
                <w:rFonts w:hint="default"/>
                <w:lang w:val="zh-CN"/>
              </w:rPr>
              <w:t>5.7 degree 100km ISD</w:t>
            </w:r>
          </w:p>
          <w:p>
            <w:pPr>
              <w:pStyle w:val="36"/>
              <w:rPr>
                <w:rFonts w:hint="default" w:eastAsia="宋体"/>
                <w:lang w:val="en-US" w:eastAsia="zh-CN"/>
              </w:rPr>
            </w:pPr>
            <w:r>
              <w:rPr>
                <w:rFonts w:hint="eastAsia"/>
                <w:lang w:val="en-US" w:eastAsia="zh-CN"/>
              </w:rPr>
              <w:t xml:space="preserve">TBD degree for </w:t>
            </w:r>
            <w:r>
              <w:rPr>
                <w:rFonts w:hint="eastAsia"/>
                <w:lang w:val="zh-CN"/>
              </w:rPr>
              <w:t>200</w:t>
            </w:r>
            <w:r>
              <w:rPr>
                <w:rFonts w:hint="default"/>
                <w:lang w:val="zh-CN"/>
              </w:rPr>
              <w:t xml:space="preserve">km </w:t>
            </w:r>
            <w:r>
              <w:rPr>
                <w:rFonts w:hint="eastAsia"/>
                <w:lang w:val="en-US" w:eastAsia="zh-CN"/>
              </w:rPr>
              <w:t>ISD</w:t>
            </w:r>
          </w:p>
        </w:tc>
        <w:tc>
          <w:tcPr>
            <w:tcW w:w="143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rPr>
                <w:rFonts w:hint="default"/>
                <w:lang w:val="en-US" w:eastAsia="zh-CN"/>
              </w:rPr>
            </w:pPr>
          </w:p>
        </w:tc>
      </w:tr>
    </w:tbl>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r>
        <w:rPr>
          <w:rFonts w:cs="Arial"/>
          <w:b w:val="0"/>
          <w:bCs w:val="0"/>
        </w:rPr>
        <w:t>2.3.2</w:t>
      </w:r>
      <w:r>
        <w:rPr>
          <w:rFonts w:cs="Arial"/>
          <w:b w:val="0"/>
          <w:bCs w:val="0"/>
        </w:rPr>
        <w:tab/>
      </w:r>
      <w:r>
        <w:rPr>
          <w:rFonts w:hint="eastAsia" w:cs="Arial"/>
          <w:b w:val="0"/>
          <w:bCs w:val="0"/>
        </w:rPr>
        <w:t>T</w:t>
      </w:r>
      <w:r>
        <w:rPr>
          <w:rFonts w:cs="Arial"/>
          <w:b w:val="0"/>
          <w:bCs w:val="0"/>
        </w:rPr>
        <w:t>N BS and UE antenna and beam forming pattern modelling</w:t>
      </w:r>
      <w:bookmarkEnd w:id="24"/>
      <w:bookmarkEnd w:id="25"/>
      <w:bookmarkEnd w:id="26"/>
      <w:bookmarkEnd w:id="27"/>
      <w:bookmarkEnd w:id="28"/>
    </w:p>
    <w:p>
      <w:pPr>
        <w:spacing w:after="120"/>
        <w:rPr>
          <w:rFonts w:eastAsia="等线"/>
        </w:rPr>
      </w:pPr>
      <w:r>
        <w:rPr>
          <w:rFonts w:eastAsia="宋体"/>
        </w:rPr>
        <w:t>For AAS antenna</w:t>
      </w:r>
      <w:r>
        <w:rPr>
          <w:rFonts w:hint="eastAsia" w:eastAsia="宋体"/>
          <w:lang w:val="en-US" w:eastAsia="zh-CN"/>
        </w:rPr>
        <w:t xml:space="preserve"> of TN BS</w:t>
      </w:r>
      <w:r>
        <w:rPr>
          <w:rFonts w:eastAsia="宋体"/>
        </w:rPr>
        <w:t xml:space="preserve">, </w:t>
      </w:r>
      <w:r>
        <w:rPr>
          <w:rFonts w:hint="eastAsia" w:eastAsia="宋体"/>
        </w:rPr>
        <w:t>it</w:t>
      </w:r>
      <w:r>
        <w:rPr>
          <w:rFonts w:eastAsia="等线"/>
        </w:rPr>
        <w:t xml:space="preserve"> refer</w:t>
      </w:r>
      <w:r>
        <w:rPr>
          <w:rFonts w:hint="eastAsia" w:eastAsia="等线"/>
        </w:rPr>
        <w:t>s</w:t>
      </w:r>
      <w:r>
        <w:rPr>
          <w:rFonts w:eastAsia="等线"/>
        </w:rPr>
        <w:t xml:space="preserve"> to the pattern in TR 38.921</w:t>
      </w:r>
      <w:r>
        <w:rPr>
          <w:rFonts w:hint="eastAsia" w:eastAsia="等线"/>
        </w:rPr>
        <w:t>.</w:t>
      </w:r>
    </w:p>
    <w:p>
      <w:pPr>
        <w:pStyle w:val="44"/>
        <w:rPr>
          <w:rFonts w:hint="eastAsia" w:ascii="Times New Roman" w:hAnsi="Times New Roman" w:eastAsia="宋体" w:cs="Times New Roman"/>
          <w:b/>
          <w:bCs/>
          <w:kern w:val="2"/>
          <w:sz w:val="20"/>
          <w:szCs w:val="22"/>
          <w:lang w:val="zh-CN" w:eastAsia="zh-CN" w:bidi="ar-SA"/>
        </w:rPr>
      </w:pPr>
      <w:r>
        <w:rPr>
          <w:rFonts w:hint="eastAsia" w:ascii="Times New Roman" w:hAnsi="Times New Roman" w:eastAsia="宋体" w:cs="Times New Roman"/>
          <w:b/>
          <w:bCs/>
          <w:kern w:val="2"/>
          <w:sz w:val="20"/>
          <w:szCs w:val="22"/>
          <w:lang w:val="zh-CN" w:eastAsia="zh-CN" w:bidi="ar-SA"/>
        </w:rPr>
        <w:t>Table 2.3.</w:t>
      </w:r>
      <w:r>
        <w:rPr>
          <w:rFonts w:hint="eastAsia" w:ascii="Times New Roman" w:hAnsi="Times New Roman" w:cs="Times New Roman"/>
          <w:b/>
          <w:bCs/>
          <w:kern w:val="2"/>
          <w:sz w:val="20"/>
          <w:szCs w:val="22"/>
          <w:lang w:val="en-US" w:eastAsia="zh-CN" w:bidi="ar-SA"/>
        </w:rPr>
        <w:t>2</w:t>
      </w:r>
      <w:r>
        <w:rPr>
          <w:rFonts w:hint="eastAsia" w:ascii="Times New Roman" w:hAnsi="Times New Roman" w:eastAsia="宋体" w:cs="Times New Roman"/>
          <w:b/>
          <w:bCs/>
          <w:kern w:val="2"/>
          <w:sz w:val="20"/>
          <w:szCs w:val="22"/>
          <w:lang w:val="zh-CN" w:eastAsia="zh-CN" w:bidi="ar-SA"/>
        </w:rPr>
        <w:t>-</w:t>
      </w:r>
      <w:r>
        <w:rPr>
          <w:rFonts w:hint="eastAsia" w:ascii="Times New Roman" w:hAnsi="Times New Roman" w:cs="Times New Roman"/>
          <w:b/>
          <w:bCs/>
          <w:kern w:val="2"/>
          <w:sz w:val="20"/>
          <w:szCs w:val="22"/>
          <w:lang w:val="en-US" w:eastAsia="zh-CN" w:bidi="ar-SA"/>
        </w:rPr>
        <w:t>1</w:t>
      </w:r>
      <w:r>
        <w:rPr>
          <w:rFonts w:hint="eastAsia" w:ascii="Times New Roman" w:hAnsi="Times New Roman" w:eastAsia="宋体" w:cs="Times New Roman"/>
          <w:b/>
          <w:bCs/>
          <w:kern w:val="2"/>
          <w:sz w:val="20"/>
          <w:szCs w:val="22"/>
          <w:lang w:val="zh-CN" w:eastAsia="zh-CN" w:bidi="ar-SA"/>
        </w:rPr>
        <w:t xml:space="preserve">: AAS antenna parameters for </w:t>
      </w:r>
      <w:r>
        <w:rPr>
          <w:rFonts w:hint="eastAsia" w:ascii="Times New Roman" w:hAnsi="Times New Roman" w:eastAsia="宋体" w:cs="Times New Roman"/>
          <w:b/>
          <w:bCs/>
          <w:kern w:val="2"/>
          <w:sz w:val="20"/>
          <w:szCs w:val="22"/>
          <w:lang w:val="en-US" w:eastAsia="zh-CN" w:bidi="ar-SA"/>
        </w:rPr>
        <w:t>TN BS at 2.1GHz, 3.5GHz and 4.9GHz</w:t>
      </w:r>
    </w:p>
    <w:tbl>
      <w:tblPr>
        <w:tblStyle w:val="23"/>
        <w:tblW w:w="40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5"/>
        <w:gridCol w:w="2782"/>
        <w:gridCol w:w="2347"/>
        <w:gridCol w:w="2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p>
        </w:tc>
        <w:tc>
          <w:tcPr>
            <w:tcW w:w="172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p>
        </w:tc>
        <w:tc>
          <w:tcPr>
            <w:tcW w:w="1456" w:type="pct"/>
            <w:tcBorders>
              <w:top w:val="single" w:color="auto" w:sz="4" w:space="0"/>
              <w:left w:val="single" w:color="auto" w:sz="4" w:space="0"/>
              <w:bottom w:val="single" w:color="auto" w:sz="4" w:space="0"/>
              <w:right w:val="single" w:color="auto" w:sz="4" w:space="0"/>
            </w:tcBorders>
            <w:vAlign w:val="center"/>
          </w:tcPr>
          <w:p>
            <w:pPr>
              <w:pStyle w:val="34"/>
            </w:pPr>
            <w:r>
              <w:t>Rural</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r>
              <w:t>1</w:t>
            </w:r>
          </w:p>
        </w:tc>
        <w:tc>
          <w:tcPr>
            <w:tcW w:w="46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35"/>
            </w:pPr>
            <w:r>
              <w:t>Base Station 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1.1</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Antenna pattern</w:t>
            </w:r>
          </w:p>
        </w:tc>
        <w:tc>
          <w:tcPr>
            <w:tcW w:w="2911" w:type="pct"/>
            <w:gridSpan w:val="2"/>
            <w:tcBorders>
              <w:top w:val="single" w:color="auto" w:sz="4" w:space="0"/>
              <w:left w:val="single" w:color="auto" w:sz="4" w:space="0"/>
              <w:bottom w:val="single" w:color="auto" w:sz="4" w:space="0"/>
              <w:right w:val="single" w:color="auto" w:sz="4" w:space="0"/>
            </w:tcBorders>
          </w:tcPr>
          <w:p>
            <w:pPr>
              <w:pStyle w:val="35"/>
            </w:pPr>
            <w:r>
              <w:t>TR 38.921[14]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1.2</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Element gain (dBi) </w:t>
            </w:r>
            <w:r>
              <w:rPr>
                <w:vertAlign w:val="superscript"/>
              </w:rPr>
              <w:t>(Note 2)</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7.1</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1.3</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3 dB beam width of single element (degree) </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90º for H</w:t>
            </w:r>
          </w:p>
          <w:p>
            <w:pPr>
              <w:pStyle w:val="35"/>
            </w:pPr>
            <w:r>
              <w:t>54º for V</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1.4</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Horizontal/vertical front</w:t>
            </w:r>
            <w:r>
              <w:noBreakHyphen/>
            </w:r>
            <w:r>
              <w:t>to</w:t>
            </w:r>
            <w:r>
              <w:noBreakHyphen/>
            </w:r>
            <w:r>
              <w:t>back ratio (dB)</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30 for both H/V</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1.5</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polarization </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Linear ±45º</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1.6</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array configuration (Row × Column) </w:t>
            </w:r>
            <w:r>
              <w:br w:type="textWrapping"/>
            </w:r>
            <w:r>
              <w:rPr>
                <w:vertAlign w:val="superscript"/>
              </w:rPr>
              <w:t>(Note 4)</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8 × 8 elements</w:t>
            </w:r>
          </w:p>
        </w:tc>
        <w:tc>
          <w:tcPr>
            <w:tcW w:w="1455" w:type="pct"/>
            <w:tcBorders>
              <w:top w:val="single" w:color="auto" w:sz="4" w:space="0"/>
              <w:left w:val="single" w:color="auto" w:sz="4" w:space="0"/>
              <w:bottom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1.7</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radiating element spacing </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0.5 of wavelength for H, 0.9 of wavelength for V</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1.8</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Array Ohmic loss (dB) </w:t>
            </w:r>
            <w:r>
              <w:rPr>
                <w:vertAlign w:val="superscript"/>
              </w:rPr>
              <w:t>(Note 2)</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2</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1.9</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Conducted power (before Ohmic loss) per antenna element (dBm) </w:t>
            </w:r>
            <w:r>
              <w:rPr>
                <w:vertAlign w:val="superscript"/>
              </w:rPr>
              <w:t>(Note 3)</w:t>
            </w:r>
            <w:r>
              <w:t xml:space="preserve"> </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25</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1.10</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Base station maximum coverage angle in the horizontal plane (degrees)</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120</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1.11</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Base station vertical coverage range (degrees) </w:t>
            </w:r>
            <w:r>
              <w:rPr>
                <w:vertAlign w:val="superscript"/>
              </w:rPr>
              <w:t>(Note 1)</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90-100</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3"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1.12</w:t>
            </w:r>
          </w:p>
        </w:tc>
        <w:tc>
          <w:tcPr>
            <w:tcW w:w="1726" w:type="pct"/>
            <w:tcBorders>
              <w:top w:val="single" w:color="auto" w:sz="4" w:space="0"/>
              <w:left w:val="single" w:color="auto" w:sz="4" w:space="0"/>
              <w:bottom w:val="single" w:color="auto" w:sz="4" w:space="0"/>
              <w:right w:val="single" w:color="auto" w:sz="4" w:space="0"/>
            </w:tcBorders>
            <w:shd w:val="clear" w:color="auto" w:fill="auto"/>
          </w:tcPr>
          <w:p>
            <w:pPr>
              <w:pStyle w:val="36"/>
            </w:pPr>
            <w:r>
              <w:t>Mechanical downtilt (degrees)</w:t>
            </w:r>
          </w:p>
        </w:tc>
        <w:tc>
          <w:tcPr>
            <w:tcW w:w="1456" w:type="pct"/>
            <w:tcBorders>
              <w:top w:val="single" w:color="auto" w:sz="4" w:space="0"/>
              <w:left w:val="single" w:color="auto" w:sz="4" w:space="0"/>
              <w:bottom w:val="single" w:color="auto" w:sz="4" w:space="0"/>
              <w:right w:val="single" w:color="auto" w:sz="4" w:space="0"/>
            </w:tcBorders>
            <w:vAlign w:val="center"/>
          </w:tcPr>
          <w:p>
            <w:pPr>
              <w:pStyle w:val="35"/>
            </w:pPr>
            <w:r>
              <w:t>3</w:t>
            </w:r>
          </w:p>
        </w:tc>
        <w:tc>
          <w:tcPr>
            <w:tcW w:w="1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p>
        </w:tc>
      </w:tr>
    </w:tbl>
    <w:p/>
    <w:p>
      <w:pPr>
        <w:rPr>
          <w:szCs w:val="24"/>
        </w:rPr>
      </w:pPr>
      <w:r>
        <w:t>For non-AAS antenna</w:t>
      </w:r>
      <w:r>
        <w:rPr>
          <w:rFonts w:hint="eastAsia"/>
          <w:lang w:val="en-US" w:eastAsia="zh-CN"/>
        </w:rPr>
        <w:t xml:space="preserve"> of TN BS</w:t>
      </w:r>
      <w:r>
        <w:t>, t</w:t>
      </w:r>
      <w:r>
        <w:rPr>
          <w:szCs w:val="24"/>
        </w:rPr>
        <w:t>he parameters in Table 2.3.2-</w:t>
      </w:r>
      <w:r>
        <w:rPr>
          <w:rFonts w:hint="eastAsia"/>
          <w:szCs w:val="24"/>
          <w:lang w:val="en-US" w:eastAsia="zh-CN"/>
        </w:rPr>
        <w:t>2</w:t>
      </w:r>
      <w:r>
        <w:rPr>
          <w:szCs w:val="24"/>
        </w:rPr>
        <w:t xml:space="preserve"> are used for </w:t>
      </w:r>
      <w:r>
        <w:rPr>
          <w:rFonts w:hint="eastAsia"/>
          <w:szCs w:val="24"/>
          <w:lang w:val="en-US" w:eastAsia="zh-CN"/>
        </w:rPr>
        <w:t>TN</w:t>
      </w:r>
      <w:r>
        <w:rPr>
          <w:szCs w:val="24"/>
        </w:rPr>
        <w:t xml:space="preserve"> BS antenna pattern in the </w:t>
      </w:r>
      <w:r>
        <w:rPr>
          <w:rFonts w:hint="eastAsia"/>
          <w:szCs w:val="24"/>
          <w:lang w:val="en-US" w:eastAsia="zh-CN"/>
        </w:rPr>
        <w:t xml:space="preserve">ATG coexistence </w:t>
      </w:r>
      <w:r>
        <w:rPr>
          <w:szCs w:val="24"/>
        </w:rPr>
        <w:t xml:space="preserve">simulation. </w:t>
      </w:r>
    </w:p>
    <w:p>
      <w:pPr>
        <w:pStyle w:val="44"/>
        <w:rPr>
          <w:rFonts w:hint="eastAsia" w:ascii="Times New Roman" w:hAnsi="Times New Roman" w:eastAsia="宋体" w:cs="Times New Roman"/>
          <w:b/>
          <w:bCs/>
          <w:kern w:val="2"/>
          <w:sz w:val="20"/>
          <w:szCs w:val="22"/>
          <w:lang w:val="zh-CN" w:eastAsia="zh-CN" w:bidi="ar-SA"/>
        </w:rPr>
      </w:pPr>
      <w:r>
        <w:rPr>
          <w:rFonts w:hint="eastAsia" w:ascii="Times New Roman" w:hAnsi="Times New Roman" w:eastAsia="宋体" w:cs="Times New Roman"/>
          <w:b/>
          <w:bCs/>
          <w:kern w:val="2"/>
          <w:sz w:val="20"/>
          <w:szCs w:val="22"/>
          <w:lang w:val="zh-CN" w:eastAsia="zh-CN" w:bidi="ar-SA"/>
        </w:rPr>
        <w:t>Table 2.3.2-</w:t>
      </w:r>
      <w:r>
        <w:rPr>
          <w:rFonts w:hint="eastAsia" w:ascii="Times New Roman" w:hAnsi="Times New Roman" w:eastAsia="宋体" w:cs="Times New Roman"/>
          <w:b/>
          <w:bCs/>
          <w:kern w:val="2"/>
          <w:sz w:val="20"/>
          <w:szCs w:val="22"/>
          <w:lang w:val="en-US" w:eastAsia="zh-CN" w:bidi="ar-SA"/>
        </w:rPr>
        <w:t>2</w:t>
      </w:r>
      <w:r>
        <w:rPr>
          <w:rFonts w:hint="eastAsia" w:ascii="Times New Roman" w:hAnsi="Times New Roman" w:eastAsia="宋体" w:cs="Times New Roman"/>
          <w:b/>
          <w:bCs/>
          <w:kern w:val="2"/>
          <w:sz w:val="20"/>
          <w:szCs w:val="22"/>
          <w:lang w:val="zh-CN" w:eastAsia="zh-CN" w:bidi="ar-SA"/>
        </w:rPr>
        <w:t xml:space="preserve">: FR1 BS Non-AAS antenna pattern for </w:t>
      </w:r>
      <w:r>
        <w:rPr>
          <w:rFonts w:hint="eastAsia" w:ascii="Times New Roman" w:hAnsi="Times New Roman" w:eastAsia="宋体" w:cs="Times New Roman"/>
          <w:b/>
          <w:bCs/>
          <w:kern w:val="2"/>
          <w:sz w:val="20"/>
          <w:szCs w:val="22"/>
          <w:lang w:val="en-US" w:eastAsia="zh-CN" w:bidi="ar-SA"/>
        </w:rPr>
        <w:t>TN BS at 2.1GHz, 3.5GHz and 4.9GHz</w:t>
      </w:r>
    </w:p>
    <w:tbl>
      <w:tblPr>
        <w:tblStyle w:val="23"/>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0"/>
        <w:gridCol w:w="3747"/>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 w:hRule="atLeast"/>
          <w:jc w:val="center"/>
        </w:trPr>
        <w:tc>
          <w:tcPr>
            <w:tcW w:w="2290" w:type="dxa"/>
            <w:shd w:val="clear" w:color="auto" w:fill="auto"/>
            <w:vAlign w:val="center"/>
          </w:tcPr>
          <w:p>
            <w:pPr>
              <w:pStyle w:val="34"/>
              <w:rPr>
                <w:lang w:val="zh-CN"/>
              </w:rPr>
            </w:pPr>
            <w:r>
              <w:t xml:space="preserve"> </w:t>
            </w:r>
            <w:r>
              <w:rPr>
                <w:lang w:val="zh-CN"/>
              </w:rPr>
              <w:t>Parameter for BS</w:t>
            </w:r>
          </w:p>
        </w:tc>
        <w:tc>
          <w:tcPr>
            <w:tcW w:w="5927" w:type="dxa"/>
            <w:gridSpan w:val="2"/>
            <w:shd w:val="clear" w:color="auto" w:fill="auto"/>
            <w:vAlign w:val="center"/>
          </w:tcPr>
          <w:p>
            <w:pPr>
              <w:pStyle w:val="34"/>
              <w:rPr>
                <w:lang w:val="zh-CN"/>
              </w:rPr>
            </w:pPr>
            <w:r>
              <w:rPr>
                <w:lang w:val="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2290" w:type="dxa"/>
            <w:shd w:val="clear" w:color="auto" w:fill="auto"/>
            <w:vAlign w:val="center"/>
          </w:tcPr>
          <w:p>
            <w:pPr>
              <w:pStyle w:val="36"/>
            </w:pPr>
            <w:r>
              <w:t>Antenna vertical radiation pattern (dB)</w:t>
            </w:r>
          </w:p>
        </w:tc>
        <w:tc>
          <w:tcPr>
            <w:tcW w:w="5927" w:type="dxa"/>
            <w:gridSpan w:val="2"/>
            <w:vAlign w:val="center"/>
          </w:tcPr>
          <w:p>
            <w:pPr>
              <w:pStyle w:val="35"/>
              <w:rPr>
                <w:lang w:val="de-DE"/>
              </w:rPr>
            </w:pPr>
            <m:oMathPara>
              <m:oMath>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E</m:t>
                    </m:r>
                    <m:r>
                      <m:rPr>
                        <m:sty m:val="p"/>
                      </m:rPr>
                      <w:rPr>
                        <w:rFonts w:ascii="Cambria Math" w:hAnsi="Cambria Math"/>
                        <w:lang w:val="de-DE"/>
                      </w:rPr>
                      <m:t>,</m:t>
                    </m:r>
                    <m:r>
                      <w:rPr>
                        <w:rFonts w:ascii="Cambria Math" w:hAnsi="Cambria Math"/>
                        <w:lang w:val="zh-CN"/>
                      </w:rPr>
                      <m:t>V</m:t>
                    </m:r>
                    <m:ctrlPr>
                      <w:rPr>
                        <w:rFonts w:ascii="Cambria Math" w:hAnsi="Cambria Math"/>
                        <w:lang w:val="zh-CN"/>
                      </w:rPr>
                    </m:ctrlP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θ</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ctrlPr>
                      <w:rPr>
                        <w:rFonts w:ascii="Cambria Math" w:hAnsi="Cambria Math"/>
                        <w:lang w:val="zh-CN"/>
                      </w:rPr>
                    </m:ctrlP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θ</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-90°</m:t>
                                    </m:r>
                                    <m:ctrlPr>
                                      <w:rPr>
                                        <w:rFonts w:ascii="Cambria Math" w:hAnsi="Cambria Math"/>
                                        <w:lang w:val="zh-CN"/>
                                      </w:rPr>
                                    </m:ctrlPr>
                                  </m:num>
                                  <m:den>
                                    <m:sSub>
                                      <m:sSubPr>
                                        <m:ctrlPr>
                                          <w:rPr>
                                            <w:rFonts w:ascii="Cambria Math" w:hAnsi="Cambria Math"/>
                                            <w:lang w:val="zh-CN"/>
                                          </w:rPr>
                                        </m:ctrlPr>
                                      </m:sSubPr>
                                      <m:e>
                                        <m:r>
                                          <w:rPr>
                                            <w:rFonts w:ascii="Cambria Math" w:hAnsi="Cambria Math"/>
                                            <w:lang w:val="zh-CN"/>
                                          </w:rPr>
                                          <m:t>θ</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ctrlPr>
                                      <w:rPr>
                                        <w:rFonts w:ascii="Cambria Math" w:hAnsi="Cambria Math"/>
                                        <w:lang w:val="zh-CN"/>
                                      </w:rPr>
                                    </m:ctrlPr>
                                  </m:den>
                                </m:f>
                                <m:ctrlPr>
                                  <w:rPr>
                                    <w:rFonts w:ascii="Cambria Math" w:hAnsi="Cambria Math"/>
                                    <w:lang w:val="zh-CN"/>
                                  </w:rPr>
                                </m:ctrlPr>
                              </m:e>
                            </m:d>
                            <m:ctrlPr>
                              <w:rPr>
                                <w:rFonts w:ascii="Cambria Math" w:hAnsi="Cambria Math"/>
                                <w:lang w:val="zh-CN"/>
                              </w:rPr>
                            </m:ctrlPr>
                          </m:e>
                          <m:sup>
                            <m:r>
                              <m:rPr>
                                <m:sty m:val="p"/>
                              </m:rPr>
                              <w:rPr>
                                <w:rFonts w:ascii="Cambria Math" w:hAnsi="Cambria Math"/>
                                <w:lang w:val="de-DE"/>
                              </w:rPr>
                              <m:t>2</m:t>
                            </m:r>
                            <m:ctrlPr>
                              <w:rPr>
                                <w:rFonts w:ascii="Cambria Math" w:hAnsi="Cambria Math"/>
                                <w:lang w:val="zh-CN"/>
                              </w:rPr>
                            </m:ctrlPr>
                          </m:sup>
                        </m:sSup>
                        <m:r>
                          <m:rPr>
                            <m:sty m:val="p"/>
                          </m:rPr>
                          <w:rPr>
                            <w:rFonts w:ascii="Cambria Math" w:hAnsi="Cambria Math"/>
                            <w:lang w:val="de-DE"/>
                          </w:rPr>
                          <m:t>,</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V</m:t>
                            </m:r>
                            <m:ctrlPr>
                              <w:rPr>
                                <w:rFonts w:ascii="Cambria Math" w:hAnsi="Cambria Math"/>
                                <w:lang w:val="zh-CN"/>
                              </w:rPr>
                            </m:ctrlPr>
                          </m:sub>
                        </m:sSub>
                        <m:ctrlPr>
                          <w:rPr>
                            <w:rFonts w:ascii="Cambria Math" w:hAnsi="Cambria Math"/>
                            <w:lang w:val="zh-CN"/>
                          </w:rPr>
                        </m:ctrlPr>
                      </m:e>
                    </m:d>
                    <m:ctrlPr>
                      <w:rPr>
                        <w:rFonts w:ascii="Cambria Math" w:hAnsi="Cambria Math"/>
                        <w:lang w:val="zh-CN"/>
                      </w:rPr>
                    </m:ctrlPr>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θ</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r>
                  <m:rPr>
                    <m:sty m:val="p"/>
                  </m:rPr>
                  <w:rPr>
                    <w:rFonts w:ascii="Cambria Math" w:hAnsi="Cambria Math"/>
                    <w:lang w:val="de-DE"/>
                  </w:rPr>
                  <m:t>=10°,</m:t>
                </m:r>
                <m:r>
                  <w:rPr>
                    <w:rFonts w:ascii="Cambria Math" w:hAnsi="Cambria Math"/>
                    <w:lang w:val="zh-CN"/>
                  </w:rPr>
                  <m:t>SL</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V</m:t>
                    </m:r>
                    <m:ctrlPr>
                      <w:rPr>
                        <w:rFonts w:ascii="Cambria Math" w:hAnsi="Cambria Math"/>
                        <w:lang w:val="zh-CN"/>
                      </w:rPr>
                    </m:ctrlPr>
                  </m:sub>
                </m:sSub>
                <m:r>
                  <m:rPr>
                    <m:sty m:val="p"/>
                  </m:rPr>
                  <w:rPr>
                    <w:rFonts w:ascii="Cambria Math" w:hAnsi="Cambria Math"/>
                    <w:lang w:val="de-DE"/>
                  </w:rPr>
                  <m:t>=20</m:t>
                </m:r>
                <m:r>
                  <m:rPr>
                    <m:nor/>
                    <m:sty m:val="p"/>
                  </m:rPr>
                  <w:rPr>
                    <w:b w:val="0"/>
                    <w:i w:val="0"/>
                    <w:lang w:val="de-DE"/>
                  </w:rPr>
                  <m:t>dB</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2290" w:type="dxa"/>
            <w:shd w:val="clear" w:color="auto" w:fill="auto"/>
            <w:vAlign w:val="center"/>
          </w:tcPr>
          <w:p>
            <w:pPr>
              <w:pStyle w:val="36"/>
            </w:pPr>
            <w:r>
              <w:t>Antenna horizontal radiation pattern (dB)</w:t>
            </w:r>
          </w:p>
        </w:tc>
        <w:tc>
          <w:tcPr>
            <w:tcW w:w="5927" w:type="dxa"/>
            <w:gridSpan w:val="2"/>
            <w:vAlign w:val="center"/>
          </w:tcPr>
          <w:p>
            <w:pPr>
              <w:pStyle w:val="35"/>
              <w:rPr>
                <w:lang w:val="de-DE"/>
              </w:rPr>
            </w:pPr>
            <m:oMathPara>
              <m:oMath>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E</m:t>
                    </m:r>
                    <m:r>
                      <m:rPr>
                        <m:sty m:val="p"/>
                      </m:rPr>
                      <w:rPr>
                        <w:rFonts w:ascii="Cambria Math" w:hAnsi="Cambria Math"/>
                        <w:lang w:val="de-DE"/>
                      </w:rPr>
                      <m:t>,</m:t>
                    </m:r>
                    <m:r>
                      <w:rPr>
                        <w:rFonts w:ascii="Cambria Math" w:hAnsi="Cambria Math"/>
                        <w:lang w:val="zh-CN"/>
                      </w:rPr>
                      <m:t>H</m:t>
                    </m:r>
                    <m:ctrlPr>
                      <w:rPr>
                        <w:rFonts w:ascii="Cambria Math" w:hAnsi="Cambria Math"/>
                        <w:lang w:val="zh-CN"/>
                      </w:rPr>
                    </m:ctrlPr>
                  </m:sub>
                </m:sSub>
                <m:r>
                  <m:rPr>
                    <m:sty m:val="p"/>
                  </m:rPr>
                  <w:rPr>
                    <w:rFonts w:ascii="Cambria Math" w:hAnsi="Cambria Math"/>
                    <w:lang w:val="de-DE"/>
                  </w:rPr>
                  <m:t>(</m:t>
                </m:r>
                <m:sSup>
                  <m:sSupPr>
                    <m:ctrlPr>
                      <w:rPr>
                        <w:rFonts w:ascii="Cambria Math" w:hAnsi="Cambria Math"/>
                        <w:lang w:val="zh-CN"/>
                      </w:rPr>
                    </m:ctrlPr>
                  </m:sSupPr>
                  <m:e>
                    <m:r>
                      <w:rPr>
                        <w:rFonts w:ascii="Cambria Math" w:hAnsi="Cambria Math"/>
                        <w:lang w:val="zh-CN"/>
                      </w:rPr>
                      <m:t>ϕ</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r>
                  <m:rPr>
                    <m:sty m:val="p"/>
                  </m:rPr>
                  <w:rPr>
                    <w:rFonts w:ascii="Cambria Math" w:hAnsi="Cambria Math"/>
                    <w:lang w:val="de-DE"/>
                  </w:rPr>
                  <m:t>)=-</m:t>
                </m:r>
                <m:func>
                  <m:funcPr>
                    <m:ctrlPr>
                      <w:rPr>
                        <w:rFonts w:ascii="Cambria Math" w:hAnsi="Cambria Math"/>
                        <w:lang w:val="zh-CN"/>
                      </w:rPr>
                    </m:ctrlPr>
                  </m:funcPr>
                  <m:fName>
                    <m:r>
                      <w:rPr>
                        <w:rFonts w:ascii="Cambria Math" w:hAnsi="Cambria Math"/>
                        <w:lang w:val="zh-CN"/>
                      </w:rPr>
                      <m:t>min</m:t>
                    </m:r>
                    <m:ctrlPr>
                      <w:rPr>
                        <w:rFonts w:ascii="Cambria Math" w:hAnsi="Cambria Math"/>
                        <w:lang w:val="zh-CN"/>
                      </w:rPr>
                    </m:ctrlPr>
                  </m:fName>
                  <m:e>
                    <m:d>
                      <m:dPr>
                        <m:begChr m:val="{"/>
                        <m:endChr m:val="}"/>
                        <m:ctrlPr>
                          <w:rPr>
                            <w:rFonts w:ascii="Cambria Math" w:hAnsi="Cambria Math"/>
                            <w:lang w:val="zh-CN"/>
                          </w:rPr>
                        </m:ctrlPr>
                      </m:dPr>
                      <m:e>
                        <m:r>
                          <m:rPr>
                            <m:sty m:val="p"/>
                          </m:rPr>
                          <w:rPr>
                            <w:rFonts w:ascii="Cambria Math" w:hAnsi="Cambria Math"/>
                            <w:lang w:val="de-DE"/>
                          </w:rPr>
                          <m:t>12</m:t>
                        </m:r>
                        <m:sSup>
                          <m:sSupPr>
                            <m:ctrlPr>
                              <w:rPr>
                                <w:rFonts w:ascii="Cambria Math" w:hAnsi="Cambria Math"/>
                                <w:lang w:val="zh-CN"/>
                              </w:rPr>
                            </m:ctrlPr>
                          </m:sSupPr>
                          <m:e>
                            <m:d>
                              <m:dPr>
                                <m:ctrlPr>
                                  <w:rPr>
                                    <w:rFonts w:ascii="Cambria Math" w:hAnsi="Cambria Math"/>
                                    <w:lang w:val="zh-CN"/>
                                  </w:rPr>
                                </m:ctrlPr>
                              </m:dPr>
                              <m:e>
                                <m:f>
                                  <m:fPr>
                                    <m:ctrlPr>
                                      <w:rPr>
                                        <w:rFonts w:ascii="Cambria Math" w:hAnsi="Cambria Math"/>
                                        <w:lang w:val="zh-CN"/>
                                      </w:rPr>
                                    </m:ctrlPr>
                                  </m:fPr>
                                  <m:num>
                                    <m:sSup>
                                      <m:sSupPr>
                                        <m:ctrlPr>
                                          <w:rPr>
                                            <w:rFonts w:ascii="Cambria Math" w:hAnsi="Cambria Math"/>
                                            <w:lang w:val="zh-CN"/>
                                          </w:rPr>
                                        </m:ctrlPr>
                                      </m:sSupPr>
                                      <m:e>
                                        <m:r>
                                          <w:rPr>
                                            <w:rFonts w:ascii="Cambria Math" w:hAnsi="Cambria Math"/>
                                            <w:lang w:val="zh-CN"/>
                                          </w:rPr>
                                          <m:t>ϕ</m:t>
                                        </m:r>
                                        <m:ctrlPr>
                                          <w:rPr>
                                            <w:rFonts w:ascii="Cambria Math" w:hAnsi="Cambria Math"/>
                                            <w:lang w:val="zh-CN"/>
                                          </w:rPr>
                                        </m:ctrlPr>
                                      </m:e>
                                      <m:sup>
                                        <m:r>
                                          <m:rPr>
                                            <m:sty m:val="p"/>
                                          </m:rPr>
                                          <w:rPr>
                                            <w:rFonts w:hint="eastAsia" w:ascii="Cambria Math" w:hAnsi="Cambria Math"/>
                                            <w:lang w:val="de-DE"/>
                                          </w:rPr>
                                          <m:t>″</m:t>
                                        </m:r>
                                        <m:ctrlPr>
                                          <w:rPr>
                                            <w:rFonts w:ascii="Cambria Math" w:hAnsi="Cambria Math"/>
                                            <w:lang w:val="zh-CN"/>
                                          </w:rPr>
                                        </m:ctrlPr>
                                      </m:sup>
                                    </m:sSup>
                                    <m:ctrlPr>
                                      <w:rPr>
                                        <w:rFonts w:ascii="Cambria Math" w:hAnsi="Cambria Math"/>
                                        <w:lang w:val="zh-CN"/>
                                      </w:rPr>
                                    </m:ctrlPr>
                                  </m:num>
                                  <m:den>
                                    <m:sSub>
                                      <m:sSubPr>
                                        <m:ctrlPr>
                                          <w:rPr>
                                            <w:rFonts w:ascii="Cambria Math" w:hAnsi="Cambria Math"/>
                                            <w:lang w:val="zh-CN"/>
                                          </w:rPr>
                                        </m:ctrlPr>
                                      </m:sSubPr>
                                      <m:e>
                                        <m:r>
                                          <w:rPr>
                                            <w:rFonts w:ascii="Cambria Math" w:hAnsi="Cambria Math"/>
                                            <w:lang w:val="zh-CN"/>
                                          </w:rPr>
                                          <m:t>ϕ</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ctrlPr>
                                      <w:rPr>
                                        <w:rFonts w:ascii="Cambria Math" w:hAnsi="Cambria Math"/>
                                        <w:lang w:val="zh-CN"/>
                                      </w:rPr>
                                    </m:ctrlPr>
                                  </m:den>
                                </m:f>
                                <m:ctrlPr>
                                  <w:rPr>
                                    <w:rFonts w:ascii="Cambria Math" w:hAnsi="Cambria Math"/>
                                    <w:lang w:val="zh-CN"/>
                                  </w:rPr>
                                </m:ctrlPr>
                              </m:e>
                            </m:d>
                            <m:ctrlPr>
                              <w:rPr>
                                <w:rFonts w:ascii="Cambria Math" w:hAnsi="Cambria Math"/>
                                <w:lang w:val="zh-CN"/>
                              </w:rPr>
                            </m:ctrlPr>
                          </m:e>
                          <m:sup>
                            <m:r>
                              <m:rPr>
                                <m:sty m:val="p"/>
                              </m:rPr>
                              <w:rPr>
                                <w:rFonts w:ascii="Cambria Math" w:hAnsi="Cambria Math"/>
                                <w:lang w:val="de-DE"/>
                              </w:rPr>
                              <m:t>2</m:t>
                            </m:r>
                            <m:ctrlPr>
                              <w:rPr>
                                <w:rFonts w:ascii="Cambria Math" w:hAnsi="Cambria Math"/>
                                <w:lang w:val="zh-CN"/>
                              </w:rPr>
                            </m:ctrlPr>
                          </m:sup>
                        </m:sSup>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m</m:t>
                            </m:r>
                            <m:ctrlPr>
                              <w:rPr>
                                <w:rFonts w:ascii="Cambria Math" w:hAnsi="Cambria Math"/>
                                <w:lang w:val="zh-CN"/>
                              </w:rPr>
                            </m:ctrlPr>
                          </m:sub>
                        </m:sSub>
                        <m:ctrlPr>
                          <w:rPr>
                            <w:rFonts w:ascii="Cambria Math" w:hAnsi="Cambria Math"/>
                            <w:lang w:val="zh-CN"/>
                          </w:rPr>
                        </m:ctrlPr>
                      </m:e>
                    </m:d>
                    <m:ctrlPr>
                      <w:rPr>
                        <w:rFonts w:ascii="Cambria Math" w:hAnsi="Cambria Math"/>
                        <w:lang w:val="zh-CN"/>
                      </w:rPr>
                    </m:ctrlPr>
                  </m:e>
                </m:func>
                <m:r>
                  <m:rPr>
                    <m:sty m:val="p"/>
                  </m:rPr>
                  <w:rPr>
                    <w:rFonts w:ascii="Cambria Math" w:hAnsi="Cambria Math"/>
                    <w:lang w:val="de-DE"/>
                  </w:rPr>
                  <m:t>,</m:t>
                </m:r>
                <m:sSub>
                  <m:sSubPr>
                    <m:ctrlPr>
                      <w:rPr>
                        <w:rFonts w:ascii="Cambria Math" w:hAnsi="Cambria Math"/>
                        <w:lang w:val="zh-CN"/>
                      </w:rPr>
                    </m:ctrlPr>
                  </m:sSubPr>
                  <m:e>
                    <m:r>
                      <w:rPr>
                        <w:rFonts w:ascii="Cambria Math" w:hAnsi="Cambria Math"/>
                        <w:lang w:val="zh-CN"/>
                      </w:rPr>
                      <m:t>ϕ</m:t>
                    </m:r>
                    <m:ctrlPr>
                      <w:rPr>
                        <w:rFonts w:ascii="Cambria Math" w:hAnsi="Cambria Math"/>
                        <w:lang w:val="zh-CN"/>
                      </w:rPr>
                    </m:ctrlPr>
                  </m:e>
                  <m:sub>
                    <m:r>
                      <m:rPr>
                        <m:nor/>
                        <m:sty m:val="p"/>
                      </m:rPr>
                      <w:rPr>
                        <w:b w:val="0"/>
                        <w:i w:val="0"/>
                        <w:lang w:val="de-DE"/>
                      </w:rPr>
                      <m:t>3dB</m:t>
                    </m:r>
                    <m:ctrlPr>
                      <w:rPr>
                        <w:rFonts w:ascii="Cambria Math" w:hAnsi="Cambria Math"/>
                        <w:lang w:val="zh-CN"/>
                      </w:rPr>
                    </m:ctrlPr>
                  </m:sub>
                </m:sSub>
                <m:r>
                  <m:rPr>
                    <m:sty m:val="p"/>
                  </m:rPr>
                  <w:rPr>
                    <w:rFonts w:ascii="Cambria Math" w:hAnsi="Cambria Math"/>
                    <w:lang w:val="de-DE"/>
                  </w:rPr>
                  <m:t>=65°,</m:t>
                </m:r>
                <m:sSub>
                  <m:sSubPr>
                    <m:ctrlPr>
                      <w:rPr>
                        <w:rFonts w:ascii="Cambria Math" w:hAnsi="Cambria Math"/>
                        <w:lang w:val="zh-CN"/>
                      </w:rPr>
                    </m:ctrlPr>
                  </m:sSubPr>
                  <m:e>
                    <m:r>
                      <w:rPr>
                        <w:rFonts w:ascii="Cambria Math" w:hAnsi="Cambria Math"/>
                        <w:lang w:val="zh-CN"/>
                      </w:rPr>
                      <m:t>A</m:t>
                    </m:r>
                    <m:ctrlPr>
                      <w:rPr>
                        <w:rFonts w:ascii="Cambria Math" w:hAnsi="Cambria Math"/>
                        <w:lang w:val="zh-CN"/>
                      </w:rPr>
                    </m:ctrlPr>
                  </m:e>
                  <m:sub>
                    <m:r>
                      <w:rPr>
                        <w:rFonts w:ascii="Cambria Math" w:hAnsi="Cambria Math"/>
                        <w:lang w:val="zh-CN"/>
                      </w:rPr>
                      <m:t>m</m:t>
                    </m:r>
                    <m:ctrlPr>
                      <w:rPr>
                        <w:rFonts w:ascii="Cambria Math" w:hAnsi="Cambria Math"/>
                        <w:lang w:val="zh-CN"/>
                      </w:rPr>
                    </m:ctrlPr>
                  </m:sub>
                </m:sSub>
                <m:r>
                  <m:rPr>
                    <m:sty m:val="p"/>
                  </m:rPr>
                  <w:rPr>
                    <w:rFonts w:ascii="Cambria Math" w:hAnsi="Cambria Math"/>
                    <w:lang w:val="de-DE"/>
                  </w:rPr>
                  <m:t>=20</m:t>
                </m:r>
                <m:r>
                  <m:rPr>
                    <m:nor/>
                    <m:sty m:val="p"/>
                  </m:rPr>
                  <w:rPr>
                    <w:b w:val="0"/>
                    <w:i w:val="0"/>
                    <w:lang w:val="de-DE"/>
                  </w:rPr>
                  <m:t>dB</m:t>
                </m:r>
              </m:oMath>
            </m:oMathPara>
          </w:p>
          <w:p>
            <w:pPr>
              <w:pStyle w:val="35"/>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jc w:val="center"/>
        </w:trPr>
        <w:tc>
          <w:tcPr>
            <w:tcW w:w="2290" w:type="dxa"/>
            <w:shd w:val="clear" w:color="auto" w:fill="auto"/>
            <w:vAlign w:val="center"/>
          </w:tcPr>
          <w:p>
            <w:pPr>
              <w:pStyle w:val="36"/>
            </w:pPr>
            <w:r>
              <w:t>Combining method for 3D antenna pattern (dB)</w:t>
            </w:r>
          </w:p>
        </w:tc>
        <w:tc>
          <w:tcPr>
            <w:tcW w:w="5927" w:type="dxa"/>
            <w:gridSpan w:val="2"/>
            <w:vAlign w:val="center"/>
          </w:tcPr>
          <w:p>
            <w:pPr>
              <w:pStyle w:val="35"/>
              <w:rPr>
                <w:lang w:val="zh-CN"/>
              </w:rPr>
            </w:pPr>
            <m:oMathPara>
              <m:oMath>
                <m:sSup>
                  <m:sSupPr>
                    <m:ctrlPr>
                      <w:rPr>
                        <w:rFonts w:ascii="Cambria Math" w:hAnsi="Cambria Math"/>
                        <w:sz w:val="20"/>
                        <w:lang w:val="zh-CN"/>
                      </w:rPr>
                    </m:ctrlPr>
                  </m:sSupPr>
                  <m:e>
                    <m:r>
                      <m:rPr>
                        <m:sty m:val="p"/>
                      </m:rPr>
                      <w:rPr>
                        <w:rFonts w:ascii="Cambria Math" w:hAnsi="Cambria Math"/>
                        <w:lang w:val="zh-CN"/>
                      </w:rPr>
                      <m:t>A</m:t>
                    </m:r>
                    <m:ctrlPr>
                      <w:rPr>
                        <w:rFonts w:ascii="Cambria Math" w:hAnsi="Cambria Math"/>
                        <w:sz w:val="20"/>
                        <w:lang w:val="zh-CN"/>
                      </w:rPr>
                    </m:ctrlPr>
                  </m:e>
                  <m:sup>
                    <m:r>
                      <w:rPr>
                        <w:rFonts w:ascii="Cambria Math" w:hAnsi="Cambria Math"/>
                        <w:lang w:val="zh-CN"/>
                      </w:rPr>
                      <m:t>“</m:t>
                    </m:r>
                    <m:ctrlPr>
                      <w:rPr>
                        <w:rFonts w:ascii="Cambria Math" w:hAnsi="Cambria Math"/>
                        <w:sz w:val="20"/>
                        <w:lang w:val="zh-CN"/>
                      </w:rPr>
                    </m:ctrlPr>
                  </m:sup>
                </m:sSup>
                <m:d>
                  <m:dPr>
                    <m:begChr m:val="（"/>
                    <m:endChr m:val="）"/>
                    <m:ctrlPr>
                      <w:rPr>
                        <w:rFonts w:ascii="Cambria Math" w:hAnsi="Cambria Math"/>
                        <w:lang w:val="de-DE"/>
                      </w:rPr>
                    </m:ctrlPr>
                  </m:dPr>
                  <m:e>
                    <m:sSup>
                      <m:sSupPr>
                        <m:ctrlPr>
                          <w:rPr>
                            <w:rFonts w:ascii="Cambria Math" w:hAnsi="Cambria Math"/>
                            <w:sz w:val="20"/>
                            <w:lang w:val="de-DE"/>
                          </w:rPr>
                        </m:ctrlPr>
                      </m:sSupPr>
                      <m:e>
                        <m:r>
                          <m:rPr>
                            <m:sty m:val="p"/>
                          </m:rPr>
                          <w:rPr>
                            <w:rFonts w:ascii="Cambria Math" w:hAnsi="Cambria Math"/>
                            <w:lang w:val="de-DE"/>
                          </w:rPr>
                          <m:t>θ</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r>
                      <m:rPr>
                        <m:sty m:val="p"/>
                      </m:rPr>
                      <w:rPr>
                        <w:rFonts w:ascii="Cambria Math" w:hAnsi="Cambria Math"/>
                        <w:lang w:val="de-DE"/>
                      </w:rPr>
                      <m:t>,</m:t>
                    </m:r>
                    <m:sSup>
                      <m:sSupPr>
                        <m:ctrlPr>
                          <w:rPr>
                            <w:rFonts w:ascii="Cambria Math" w:hAnsi="Cambria Math"/>
                            <w:sz w:val="20"/>
                            <w:lang w:val="de-DE"/>
                          </w:rPr>
                        </m:ctrlPr>
                      </m:sSupPr>
                      <m:e>
                        <m:r>
                          <w:rPr>
                            <w:rFonts w:ascii="Cambria Math" w:hAnsi="Cambria Math"/>
                            <w:lang w:val="de-DE"/>
                          </w:rPr>
                          <m:t>φ</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ctrlPr>
                      <w:rPr>
                        <w:rFonts w:ascii="Cambria Math" w:hAnsi="Cambria Math"/>
                        <w:lang w:val="de-DE"/>
                      </w:rPr>
                    </m:ctrlPr>
                  </m:e>
                </m:d>
                <m:r>
                  <m:rPr>
                    <m:sty m:val="p"/>
                  </m:rPr>
                  <w:rPr>
                    <w:rFonts w:ascii="Cambria Math" w:hAnsi="Cambria Math"/>
                    <w:lang w:val="de-DE"/>
                  </w:rPr>
                  <m:t>=-min</m:t>
                </m:r>
                <m:d>
                  <m:dPr>
                    <m:begChr m:val="{"/>
                    <m:endChr m:val="}"/>
                    <m:ctrlPr>
                      <w:rPr>
                        <w:rFonts w:ascii="Cambria Math" w:hAnsi="Cambria Math"/>
                        <w:sz w:val="20"/>
                        <w:lang w:val="de-DE"/>
                      </w:rPr>
                    </m:ctrlPr>
                  </m:dPr>
                  <m:e>
                    <m:r>
                      <w:rPr>
                        <w:rFonts w:ascii="Cambria Math" w:hAnsi="Cambria Math"/>
                        <w:lang w:val="de-DE"/>
                      </w:rPr>
                      <m:t>-</m:t>
                    </m:r>
                    <m:d>
                      <m:dPr>
                        <m:begChr m:val="["/>
                        <m:endChr m:val="]"/>
                        <m:ctrlPr>
                          <w:rPr>
                            <w:rFonts w:ascii="Cambria Math" w:hAnsi="Cambria Math"/>
                            <w:i/>
                            <w:sz w:val="20"/>
                            <w:lang w:val="de-DE"/>
                          </w:rPr>
                        </m:ctrlPr>
                      </m:dPr>
                      <m:e>
                        <m:sSub>
                          <m:sSubPr>
                            <m:ctrlPr>
                              <w:rPr>
                                <w:rFonts w:ascii="Cambria Math" w:hAnsi="Cambria Math"/>
                                <w:i/>
                                <w:sz w:val="20"/>
                                <w:lang w:val="de-DE"/>
                              </w:rPr>
                            </m:ctrlPr>
                          </m:sSubPr>
                          <m:e>
                            <m:r>
                              <w:rPr>
                                <w:rFonts w:ascii="Cambria Math" w:hAnsi="Cambria Math"/>
                                <w:lang w:val="de-DE"/>
                              </w:rPr>
                              <m:t>A</m:t>
                            </m:r>
                            <m:ctrlPr>
                              <w:rPr>
                                <w:rFonts w:ascii="Cambria Math" w:hAnsi="Cambria Math"/>
                                <w:i/>
                                <w:sz w:val="20"/>
                                <w:lang w:val="de-DE"/>
                              </w:rPr>
                            </m:ctrlPr>
                          </m:e>
                          <m:sub>
                            <m:r>
                              <w:rPr>
                                <w:rFonts w:hint="eastAsia" w:ascii="Cambria Math" w:hAnsi="Cambria Math"/>
                                <w:lang w:val="de-DE" w:eastAsia="zh-CN"/>
                              </w:rPr>
                              <m:t>E</m:t>
                            </m:r>
                            <m:r>
                              <w:rPr>
                                <w:rFonts w:ascii="Cambria Math" w:hAnsi="Cambria Math"/>
                                <w:lang w:val="de-DE" w:eastAsia="zh-CN"/>
                              </w:rPr>
                              <m:t>,V</m:t>
                            </m:r>
                            <m:ctrlPr>
                              <w:rPr>
                                <w:rFonts w:ascii="Cambria Math" w:hAnsi="Cambria Math"/>
                                <w:i/>
                                <w:sz w:val="20"/>
                                <w:lang w:val="de-DE"/>
                              </w:rPr>
                            </m:ctrlPr>
                          </m:sub>
                        </m:sSub>
                        <m:d>
                          <m:dPr>
                            <m:ctrlPr>
                              <w:rPr>
                                <w:rFonts w:ascii="Cambria Math" w:hAnsi="Cambria Math"/>
                                <w:i/>
                                <w:lang w:val="de-DE"/>
                              </w:rPr>
                            </m:ctrlPr>
                          </m:dPr>
                          <m:e>
                            <m:sSup>
                              <m:sSupPr>
                                <m:ctrlPr>
                                  <w:rPr>
                                    <w:rFonts w:ascii="Cambria Math" w:hAnsi="Cambria Math"/>
                                    <w:sz w:val="20"/>
                                    <w:lang w:val="de-DE"/>
                                  </w:rPr>
                                </m:ctrlPr>
                              </m:sSupPr>
                              <m:e>
                                <m:r>
                                  <m:rPr>
                                    <m:sty m:val="p"/>
                                  </m:rPr>
                                  <w:rPr>
                                    <w:rFonts w:ascii="Cambria Math" w:hAnsi="Cambria Math"/>
                                    <w:lang w:val="de-DE"/>
                                  </w:rPr>
                                  <m:t>θ</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ctrlPr>
                              <w:rPr>
                                <w:rFonts w:ascii="Cambria Math" w:hAnsi="Cambria Math"/>
                                <w:i/>
                                <w:lang w:val="de-DE"/>
                              </w:rPr>
                            </m:ctrlPr>
                          </m:e>
                        </m:d>
                        <m:r>
                          <w:rPr>
                            <w:rFonts w:ascii="Cambria Math" w:hAnsi="Cambria Math"/>
                            <w:lang w:val="de-DE"/>
                          </w:rPr>
                          <m:t>+</m:t>
                        </m:r>
                        <m:sSub>
                          <m:sSubPr>
                            <m:ctrlPr>
                              <w:rPr>
                                <w:rFonts w:ascii="Cambria Math" w:hAnsi="Cambria Math"/>
                                <w:i/>
                                <w:sz w:val="20"/>
                                <w:lang w:val="de-DE"/>
                              </w:rPr>
                            </m:ctrlPr>
                          </m:sSubPr>
                          <m:e>
                            <m:r>
                              <w:rPr>
                                <w:rFonts w:ascii="Cambria Math" w:hAnsi="Cambria Math"/>
                                <w:lang w:val="de-DE"/>
                              </w:rPr>
                              <m:t>A</m:t>
                            </m:r>
                            <m:ctrlPr>
                              <w:rPr>
                                <w:rFonts w:ascii="Cambria Math" w:hAnsi="Cambria Math"/>
                                <w:i/>
                                <w:sz w:val="20"/>
                                <w:lang w:val="de-DE"/>
                              </w:rPr>
                            </m:ctrlPr>
                          </m:e>
                          <m:sub>
                            <m:r>
                              <w:rPr>
                                <w:rFonts w:hint="eastAsia" w:ascii="Cambria Math" w:hAnsi="Cambria Math"/>
                                <w:lang w:val="de-DE" w:eastAsia="zh-CN"/>
                              </w:rPr>
                              <m:t>E</m:t>
                            </m:r>
                            <m:r>
                              <w:rPr>
                                <w:rFonts w:ascii="Cambria Math" w:hAnsi="Cambria Math"/>
                                <w:lang w:val="de-DE" w:eastAsia="zh-CN"/>
                              </w:rPr>
                              <m:t>,</m:t>
                            </m:r>
                            <m:r>
                              <w:rPr>
                                <w:rFonts w:hint="eastAsia" w:ascii="Cambria Math" w:hAnsi="Cambria Math"/>
                                <w:lang w:val="de-DE" w:eastAsia="zh-CN"/>
                              </w:rPr>
                              <m:t>H</m:t>
                            </m:r>
                            <m:ctrlPr>
                              <w:rPr>
                                <w:rFonts w:ascii="Cambria Math" w:hAnsi="Cambria Math"/>
                                <w:i/>
                                <w:sz w:val="20"/>
                                <w:lang w:val="de-DE"/>
                              </w:rPr>
                            </m:ctrlPr>
                          </m:sub>
                        </m:sSub>
                        <m:d>
                          <m:dPr>
                            <m:ctrlPr>
                              <w:rPr>
                                <w:rFonts w:ascii="Cambria Math" w:hAnsi="Cambria Math"/>
                                <w:i/>
                                <w:lang w:val="de-DE"/>
                              </w:rPr>
                            </m:ctrlPr>
                          </m:dPr>
                          <m:e>
                            <m:sSup>
                              <m:sSupPr>
                                <m:ctrlPr>
                                  <w:rPr>
                                    <w:rFonts w:ascii="Cambria Math" w:hAnsi="Cambria Math"/>
                                    <w:sz w:val="20"/>
                                    <w:lang w:val="de-DE"/>
                                  </w:rPr>
                                </m:ctrlPr>
                              </m:sSupPr>
                              <m:e>
                                <m:r>
                                  <w:rPr>
                                    <w:rFonts w:ascii="Cambria Math" w:hAnsi="Cambria Math"/>
                                    <w:lang w:val="de-DE"/>
                                  </w:rPr>
                                  <m:t>φ</m:t>
                                </m:r>
                                <m:ctrlPr>
                                  <w:rPr>
                                    <w:rFonts w:ascii="Cambria Math" w:hAnsi="Cambria Math"/>
                                    <w:sz w:val="20"/>
                                    <w:lang w:val="de-DE"/>
                                  </w:rPr>
                                </m:ctrlPr>
                              </m:e>
                              <m:sup>
                                <m:r>
                                  <w:rPr>
                                    <w:rFonts w:ascii="Cambria Math" w:hAnsi="Cambria Math"/>
                                    <w:lang w:val="de-DE"/>
                                  </w:rPr>
                                  <m:t>”</m:t>
                                </m:r>
                                <m:ctrlPr>
                                  <w:rPr>
                                    <w:rFonts w:ascii="Cambria Math" w:hAnsi="Cambria Math"/>
                                    <w:sz w:val="20"/>
                                    <w:lang w:val="de-DE"/>
                                  </w:rPr>
                                </m:ctrlPr>
                              </m:sup>
                            </m:sSup>
                            <m:ctrlPr>
                              <w:rPr>
                                <w:rFonts w:ascii="Cambria Math" w:hAnsi="Cambria Math"/>
                                <w:i/>
                                <w:lang w:val="de-DE"/>
                              </w:rPr>
                            </m:ctrlPr>
                          </m:e>
                        </m:d>
                        <m:ctrlPr>
                          <w:rPr>
                            <w:rFonts w:ascii="Cambria Math" w:hAnsi="Cambria Math"/>
                            <w:i/>
                            <w:sz w:val="20"/>
                            <w:lang w:val="de-DE"/>
                          </w:rPr>
                        </m:ctrlPr>
                      </m:e>
                    </m:d>
                    <m:r>
                      <w:rPr>
                        <w:rFonts w:ascii="Cambria Math" w:hAnsi="Cambria Math"/>
                        <w:lang w:val="de-DE"/>
                      </w:rPr>
                      <m:t xml:space="preserve">, </m:t>
                    </m:r>
                    <m:sSub>
                      <m:sSubPr>
                        <m:ctrlPr>
                          <w:rPr>
                            <w:rFonts w:ascii="Cambria Math" w:hAnsi="Cambria Math"/>
                            <w:i/>
                            <w:sz w:val="20"/>
                            <w:lang w:val="de-DE"/>
                          </w:rPr>
                        </m:ctrlPr>
                      </m:sSubPr>
                      <m:e>
                        <m:r>
                          <w:rPr>
                            <w:rFonts w:ascii="Cambria Math" w:hAnsi="Cambria Math"/>
                            <w:lang w:val="de-DE"/>
                          </w:rPr>
                          <m:t>A</m:t>
                        </m:r>
                        <m:ctrlPr>
                          <w:rPr>
                            <w:rFonts w:ascii="Cambria Math" w:hAnsi="Cambria Math"/>
                            <w:i/>
                            <w:sz w:val="20"/>
                            <w:lang w:val="de-DE"/>
                          </w:rPr>
                        </m:ctrlPr>
                      </m:e>
                      <m:sub>
                        <m:r>
                          <w:rPr>
                            <w:rFonts w:ascii="Cambria Math" w:hAnsi="Cambria Math"/>
                            <w:lang w:val="de-DE"/>
                          </w:rPr>
                          <m:t>m</m:t>
                        </m:r>
                        <m:ctrlPr>
                          <w:rPr>
                            <w:rFonts w:ascii="Cambria Math" w:hAnsi="Cambria Math"/>
                            <w:i/>
                            <w:sz w:val="20"/>
                            <w:lang w:val="de-DE"/>
                          </w:rPr>
                        </m:ctrlPr>
                      </m:sub>
                    </m:sSub>
                    <m:ctrlPr>
                      <w:rPr>
                        <w:rFonts w:ascii="Cambria Math" w:hAnsi="Cambria Math"/>
                        <w:sz w:val="20"/>
                        <w:lang w:val="de-DE"/>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pPr>
              <w:pStyle w:val="36"/>
            </w:pPr>
            <w:r>
              <w:t xml:space="preserve">Maximum directional gain of an antenna </w:t>
            </w:r>
            <w:r>
              <w:rPr>
                <w:i/>
              </w:rPr>
              <w:t>G</w:t>
            </w:r>
            <w:r>
              <w:rPr>
                <w:i/>
                <w:vertAlign w:val="subscript"/>
              </w:rPr>
              <w:t>E,max</w:t>
            </w:r>
          </w:p>
        </w:tc>
        <w:tc>
          <w:tcPr>
            <w:tcW w:w="5927" w:type="dxa"/>
            <w:gridSpan w:val="2"/>
            <w:vAlign w:val="center"/>
          </w:tcPr>
          <w:p>
            <w:pPr>
              <w:pStyle w:val="35"/>
              <w:rPr>
                <w:lang w:val="zh-CN"/>
              </w:rPr>
            </w:pPr>
            <w:r>
              <w:rPr>
                <w:lang w:val="zh-CN" w:eastAsia="ja-JP"/>
              </w:rPr>
              <w:t xml:space="preserve">17 </w:t>
            </w:r>
            <w:r>
              <w:rPr>
                <w:lang w:val="zh-CN"/>
              </w:rPr>
              <w:t xml:space="preserve">dBi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auto"/>
            <w:vAlign w:val="center"/>
          </w:tcPr>
          <w:p>
            <w:pPr>
              <w:pStyle w:val="36"/>
            </w:pPr>
            <w:r>
              <w:t>Conducted power</w:t>
            </w:r>
          </w:p>
        </w:tc>
        <w:tc>
          <w:tcPr>
            <w:tcW w:w="5927" w:type="dxa"/>
            <w:gridSpan w:val="2"/>
            <w:vAlign w:val="center"/>
          </w:tcPr>
          <w:p>
            <w:pPr>
              <w:pStyle w:val="35"/>
              <w:rPr>
                <w:lang w:val="zh-CN"/>
              </w:rPr>
            </w:pPr>
            <w:r>
              <w:rPr>
                <w:lang w:val="zh-CN"/>
              </w:rPr>
              <w:t>46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vMerge w:val="restart"/>
            <w:shd w:val="clear" w:color="auto" w:fill="auto"/>
            <w:vAlign w:val="center"/>
          </w:tcPr>
          <w:p>
            <w:pPr>
              <w:pStyle w:val="36"/>
            </w:pPr>
            <w:r>
              <w:t>Mechanical downtilt in degrees</w:t>
            </w:r>
          </w:p>
        </w:tc>
        <w:tc>
          <w:tcPr>
            <w:tcW w:w="3747" w:type="dxa"/>
            <w:vAlign w:val="center"/>
          </w:tcPr>
          <w:p>
            <w:pPr>
              <w:pStyle w:val="35"/>
              <w:rPr>
                <w:lang w:val="zh-CN"/>
              </w:rPr>
            </w:pPr>
            <w:r>
              <w:rPr>
                <w:lang w:val="zh-CN"/>
              </w:rPr>
              <w:t>Rural</w:t>
            </w:r>
          </w:p>
        </w:tc>
        <w:tc>
          <w:tcPr>
            <w:tcW w:w="2180" w:type="dxa"/>
            <w:vAlign w:val="center"/>
          </w:tcPr>
          <w:p>
            <w:pPr>
              <w:pStyle w:val="35"/>
              <w:rPr>
                <w:lang w:val="zh-CN"/>
              </w:rPr>
            </w:pPr>
            <w:r>
              <w:rPr>
                <w:lang w:val="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vMerge w:val="continue"/>
            <w:shd w:val="clear" w:color="auto" w:fill="auto"/>
            <w:vAlign w:val="center"/>
          </w:tcPr>
          <w:p>
            <w:pPr>
              <w:keepNext/>
              <w:keepLines/>
              <w:rPr>
                <w:rFonts w:eastAsia="微软雅黑"/>
                <w:sz w:val="18"/>
                <w:szCs w:val="18"/>
              </w:rPr>
            </w:pPr>
          </w:p>
        </w:tc>
        <w:tc>
          <w:tcPr>
            <w:tcW w:w="3747" w:type="dxa"/>
            <w:vAlign w:val="center"/>
          </w:tcPr>
          <w:p>
            <w:pPr>
              <w:pStyle w:val="35"/>
              <w:rPr>
                <w:lang w:val="zh-CN"/>
              </w:rPr>
            </w:pPr>
            <w:r>
              <w:rPr>
                <w:lang w:val="zh-CN"/>
              </w:rPr>
              <w:t>Urban</w:t>
            </w:r>
          </w:p>
        </w:tc>
        <w:tc>
          <w:tcPr>
            <w:tcW w:w="2180" w:type="dxa"/>
            <w:vAlign w:val="center"/>
          </w:tcPr>
          <w:p>
            <w:pPr>
              <w:pStyle w:val="35"/>
              <w:rPr>
                <w:rFonts w:hint="default" w:eastAsia="宋体"/>
                <w:lang w:val="en-US" w:eastAsia="zh-CN"/>
              </w:rPr>
            </w:pPr>
            <w:r>
              <w:rPr>
                <w:rFonts w:hint="eastAsia" w:eastAsia="宋体"/>
                <w:lang w:val="en-US" w:eastAsia="zh-CN"/>
              </w:rPr>
              <w:t>NA</w:t>
            </w:r>
          </w:p>
        </w:tc>
      </w:tr>
    </w:tbl>
    <w:p>
      <w:pPr>
        <w:pStyle w:val="40"/>
        <w:bidi w:val="0"/>
        <w:ind w:left="0" w:leftChars="0" w:firstLine="0" w:firstLineChars="0"/>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29" w:name="_Toc94170352"/>
      <w:bookmarkStart w:id="30" w:name="_Toc104210162"/>
      <w:bookmarkStart w:id="31" w:name="_Toc87889251"/>
      <w:bookmarkStart w:id="32" w:name="_Toc104122356"/>
      <w:bookmarkStart w:id="33" w:name="_Toc104502874"/>
      <w:r>
        <w:rPr>
          <w:rFonts w:hint="eastAsia" w:ascii="Arial" w:hAnsi="Arial" w:cs="Arial"/>
          <w:sz w:val="28"/>
          <w:szCs w:val="28"/>
          <w:lang w:val="en-US" w:eastAsia="zh-CN"/>
        </w:rPr>
        <w:t>2.4. ACIR model</w:t>
      </w:r>
      <w:bookmarkEnd w:id="29"/>
      <w:bookmarkEnd w:id="30"/>
      <w:bookmarkEnd w:id="31"/>
      <w:bookmarkEnd w:id="32"/>
      <w:bookmarkEnd w:id="33"/>
    </w:p>
    <w:p>
      <w:pPr>
        <w:rPr>
          <w:lang w:val="sv-SE"/>
        </w:rPr>
      </w:pPr>
      <w:r>
        <w:rPr>
          <w:lang w:val="sv-SE"/>
        </w:rPr>
        <w:t xml:space="preserve">ACLR modelling for TN and </w:t>
      </w:r>
      <w:r>
        <w:rPr>
          <w:rFonts w:hint="eastAsia"/>
          <w:lang w:val="en-US" w:eastAsia="zh-CN"/>
        </w:rPr>
        <w:t>ATG</w:t>
      </w:r>
      <w:r>
        <w:rPr>
          <w:lang w:val="sv-SE"/>
        </w:rPr>
        <w:t xml:space="preserve"> co-existence study referring to clause 5.1.1.4.1 and 5.1.1.4.2 in TR 36.942</w:t>
      </w:r>
      <w:r>
        <w:rPr>
          <w:color w:val="000000"/>
          <w:szCs w:val="18"/>
        </w:rPr>
        <w:t>[8]</w:t>
      </w:r>
      <w:r>
        <w:rPr>
          <w:lang w:val="sv-SE"/>
        </w:rPr>
        <w:t xml:space="preserve"> is used as baseline.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34" w:name="_Toc87889252"/>
      <w:bookmarkStart w:id="35" w:name="_Toc104210163"/>
      <w:bookmarkStart w:id="36" w:name="_Toc104122357"/>
      <w:bookmarkStart w:id="37" w:name="_Toc94170353"/>
      <w:bookmarkStart w:id="38" w:name="_Toc104502875"/>
      <w:r>
        <w:rPr>
          <w:rFonts w:hint="eastAsia" w:ascii="Arial" w:hAnsi="Arial" w:cs="Arial"/>
          <w:sz w:val="28"/>
          <w:szCs w:val="28"/>
          <w:lang w:val="en-US" w:eastAsia="zh-CN"/>
        </w:rPr>
        <w:t>2.5. Propagation model</w:t>
      </w:r>
      <w:bookmarkEnd w:id="34"/>
      <w:bookmarkEnd w:id="35"/>
      <w:bookmarkEnd w:id="36"/>
      <w:bookmarkEnd w:id="37"/>
      <w:bookmarkEnd w:id="38"/>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39" w:name="_Toc104502876"/>
      <w:bookmarkStart w:id="40" w:name="_Toc87889253"/>
      <w:bookmarkStart w:id="41" w:name="_Toc104122358"/>
      <w:bookmarkStart w:id="42" w:name="_Toc94170354"/>
      <w:bookmarkStart w:id="43" w:name="_Toc104210164"/>
      <w:r>
        <w:rPr>
          <w:rFonts w:cs="Arial"/>
          <w:b w:val="0"/>
          <w:bCs w:val="0"/>
        </w:rPr>
        <w:t>2.5.1</w:t>
      </w:r>
      <w:r>
        <w:rPr>
          <w:rFonts w:hint="eastAsia" w:cs="Arial"/>
          <w:b w:val="0"/>
          <w:bCs w:val="0"/>
          <w:lang w:val="en-US" w:eastAsia="zh-CN"/>
        </w:rPr>
        <w:t xml:space="preserve"> </w:t>
      </w:r>
      <w:r>
        <w:rPr>
          <w:rFonts w:cs="Arial"/>
          <w:b w:val="0"/>
          <w:bCs w:val="0"/>
        </w:rPr>
        <w:t xml:space="preserve">Propagation model between </w:t>
      </w:r>
      <w:r>
        <w:rPr>
          <w:rFonts w:hint="eastAsia" w:cs="Arial"/>
          <w:b w:val="0"/>
          <w:bCs w:val="0"/>
          <w:lang w:val="en-US" w:eastAsia="zh-CN"/>
        </w:rPr>
        <w:t>ATG BS</w:t>
      </w:r>
      <w:r>
        <w:rPr>
          <w:rFonts w:cs="Arial"/>
          <w:b w:val="0"/>
          <w:bCs w:val="0"/>
        </w:rPr>
        <w:t xml:space="preserve"> and UE</w:t>
      </w:r>
      <w:bookmarkEnd w:id="39"/>
      <w:bookmarkEnd w:id="40"/>
      <w:bookmarkEnd w:id="41"/>
      <w:bookmarkEnd w:id="42"/>
      <w:bookmarkEnd w:id="43"/>
    </w:p>
    <w:p>
      <w:pPr>
        <w:rPr>
          <w:rFonts w:eastAsia="宋体"/>
        </w:rPr>
      </w:pPr>
      <w:r>
        <w:rPr>
          <w:rFonts w:hint="eastAsia" w:eastAsia="宋体"/>
        </w:rPr>
        <w:t>P</w:t>
      </w:r>
      <w:r>
        <w:rPr>
          <w:rFonts w:eastAsia="宋体"/>
        </w:rPr>
        <w:t xml:space="preserve">ropagation model between </w:t>
      </w:r>
      <w:r>
        <w:rPr>
          <w:rFonts w:hint="eastAsia" w:eastAsia="宋体"/>
          <w:lang w:val="en-US" w:eastAsia="zh-CN"/>
        </w:rPr>
        <w:t>ATG</w:t>
      </w:r>
      <w:r>
        <w:rPr>
          <w:rFonts w:eastAsia="宋体"/>
        </w:rPr>
        <w:t xml:space="preserve"> </w:t>
      </w:r>
      <w:r>
        <w:rPr>
          <w:rFonts w:hint="eastAsia" w:eastAsia="宋体"/>
          <w:lang w:val="en-US" w:eastAsia="zh-CN"/>
        </w:rPr>
        <w:t>BS</w:t>
      </w:r>
      <w:r>
        <w:rPr>
          <w:rFonts w:eastAsia="宋体"/>
        </w:rPr>
        <w:t xml:space="preserve"> and UE should reference to section 6.6 in TR 38.811[5].</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44" w:name="_Toc104210165"/>
      <w:bookmarkStart w:id="45" w:name="_Toc104502877"/>
      <w:bookmarkStart w:id="46" w:name="_Toc104122359"/>
      <w:bookmarkStart w:id="47" w:name="_Toc87889254"/>
      <w:bookmarkStart w:id="48" w:name="_Toc94170355"/>
      <w:r>
        <w:rPr>
          <w:rFonts w:cs="Arial"/>
          <w:b w:val="0"/>
          <w:bCs w:val="0"/>
        </w:rPr>
        <w:t>2.5.2</w:t>
      </w:r>
      <w:r>
        <w:rPr>
          <w:rFonts w:cs="Arial"/>
          <w:b w:val="0"/>
          <w:bCs w:val="0"/>
        </w:rPr>
        <w:tab/>
      </w:r>
      <w:r>
        <w:rPr>
          <w:rFonts w:cs="Arial"/>
          <w:b w:val="0"/>
          <w:bCs w:val="0"/>
        </w:rPr>
        <w:t>Propagation model between TN BS and UE</w:t>
      </w:r>
      <w:bookmarkEnd w:id="44"/>
      <w:bookmarkEnd w:id="45"/>
      <w:bookmarkEnd w:id="46"/>
      <w:bookmarkEnd w:id="47"/>
      <w:bookmarkEnd w:id="48"/>
    </w:p>
    <w:p>
      <w:r>
        <w:t>Propagation model between TN BS and UE should reference to section 7.4 in TR 38.901</w:t>
      </w:r>
      <w:r>
        <w:rPr>
          <w:color w:val="000000"/>
          <w:szCs w:val="18"/>
        </w:rPr>
        <w:t>[10]</w:t>
      </w:r>
      <w:r>
        <w:t>.</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49" w:name="_Toc104502878"/>
      <w:bookmarkStart w:id="50" w:name="_Toc94170356"/>
      <w:bookmarkStart w:id="51" w:name="_Toc87889255"/>
      <w:bookmarkStart w:id="52" w:name="_Toc104210166"/>
      <w:bookmarkStart w:id="53" w:name="_Toc104122360"/>
      <w:r>
        <w:rPr>
          <w:rFonts w:cs="Arial"/>
          <w:b w:val="0"/>
          <w:bCs w:val="0"/>
        </w:rPr>
        <w:t>2.5.3</w:t>
      </w:r>
      <w:r>
        <w:rPr>
          <w:rFonts w:cs="Arial"/>
          <w:b w:val="0"/>
          <w:bCs w:val="0"/>
        </w:rPr>
        <w:tab/>
      </w:r>
      <w:r>
        <w:rPr>
          <w:rFonts w:cs="Arial"/>
          <w:b w:val="0"/>
          <w:bCs w:val="0"/>
        </w:rPr>
        <w:t xml:space="preserve">Propagation model between </w:t>
      </w:r>
      <w:r>
        <w:rPr>
          <w:rFonts w:hint="eastAsia" w:cs="Arial"/>
          <w:b w:val="0"/>
          <w:bCs w:val="0"/>
          <w:lang w:val="en-US" w:eastAsia="zh-CN"/>
        </w:rPr>
        <w:t>ATG</w:t>
      </w:r>
      <w:r>
        <w:rPr>
          <w:rFonts w:cs="Arial"/>
          <w:b w:val="0"/>
          <w:bCs w:val="0"/>
        </w:rPr>
        <w:t xml:space="preserve"> </w:t>
      </w:r>
      <w:r>
        <w:rPr>
          <w:rFonts w:hint="eastAsia" w:cs="Arial"/>
          <w:b w:val="0"/>
          <w:bCs w:val="0"/>
          <w:lang w:val="en-US" w:eastAsia="zh-CN"/>
        </w:rPr>
        <w:t>BS</w:t>
      </w:r>
      <w:r>
        <w:rPr>
          <w:rFonts w:cs="Arial"/>
          <w:b w:val="0"/>
          <w:bCs w:val="0"/>
        </w:rPr>
        <w:t xml:space="preserve"> and TN BS</w:t>
      </w:r>
      <w:bookmarkEnd w:id="49"/>
      <w:bookmarkEnd w:id="50"/>
      <w:bookmarkEnd w:id="51"/>
      <w:bookmarkEnd w:id="52"/>
      <w:bookmarkEnd w:id="53"/>
    </w:p>
    <w:p>
      <w:pPr>
        <w:spacing w:after="120"/>
        <w:rPr>
          <w:rFonts w:eastAsia="宋体"/>
        </w:rPr>
      </w:pPr>
      <w:r>
        <w:rPr>
          <w:rFonts w:hint="eastAsia" w:eastAsia="宋体"/>
        </w:rPr>
        <w:t xml:space="preserve">Propagation model between </w:t>
      </w:r>
      <w:r>
        <w:rPr>
          <w:rFonts w:hint="eastAsia" w:eastAsia="宋体"/>
          <w:lang w:val="en-US" w:eastAsia="zh-CN"/>
        </w:rPr>
        <w:t>ATG BS</w:t>
      </w:r>
      <w:r>
        <w:rPr>
          <w:rFonts w:hint="eastAsia" w:eastAsia="宋体"/>
        </w:rPr>
        <w:t xml:space="preserve"> and TN BS should reference to TS 38.811</w:t>
      </w:r>
      <w:r>
        <w:rPr>
          <w:rFonts w:eastAsia="宋体"/>
        </w:rPr>
        <w:t>[5]</w:t>
      </w:r>
      <w:r>
        <w:rPr>
          <w:rFonts w:hint="eastAsia" w:eastAsia="宋体"/>
        </w:rPr>
        <w:t xml:space="preserve"> which is used for DL-UL cross link interference for band</w:t>
      </w:r>
      <w:r>
        <w:rPr>
          <w:rFonts w:hint="eastAsia" w:eastAsia="宋体"/>
          <w:lang w:val="en-US" w:eastAsia="zh-CN"/>
        </w:rPr>
        <w:t xml:space="preserve"> n1</w:t>
      </w:r>
      <w:r>
        <w:rPr>
          <w:rFonts w:hint="eastAsia" w:eastAsia="宋体"/>
        </w:rPr>
        <w:t>.</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54" w:name="_Toc104210168"/>
      <w:bookmarkStart w:id="55" w:name="_Toc104122362"/>
      <w:bookmarkStart w:id="56" w:name="_Toc94170358"/>
      <w:bookmarkStart w:id="57" w:name="_Toc104502880"/>
      <w:bookmarkStart w:id="58" w:name="_Toc87889257"/>
      <w:r>
        <w:rPr>
          <w:rFonts w:hint="eastAsia" w:ascii="Arial" w:hAnsi="Arial" w:cs="Arial"/>
          <w:sz w:val="28"/>
          <w:szCs w:val="28"/>
          <w:lang w:val="en-US" w:eastAsia="zh-CN"/>
        </w:rPr>
        <w:t>2.6.</w:t>
      </w:r>
      <w:bookmarkStart w:id="59" w:name="_Toc494384421"/>
      <w:r>
        <w:rPr>
          <w:rFonts w:hint="eastAsia" w:ascii="Arial" w:hAnsi="Arial" w:cs="Arial"/>
          <w:sz w:val="28"/>
          <w:szCs w:val="28"/>
          <w:lang w:val="en-US" w:eastAsia="zh-CN"/>
        </w:rPr>
        <w:t xml:space="preserve"> Transmission power control model</w:t>
      </w:r>
      <w:bookmarkEnd w:id="54"/>
      <w:bookmarkEnd w:id="55"/>
      <w:bookmarkEnd w:id="56"/>
      <w:bookmarkEnd w:id="57"/>
      <w:bookmarkEnd w:id="58"/>
      <w:bookmarkEnd w:id="59"/>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lang w:val="sv-SE"/>
        </w:rPr>
      </w:pPr>
      <w:bookmarkStart w:id="60" w:name="_Toc104210169"/>
      <w:bookmarkStart w:id="61" w:name="_Toc104122363"/>
      <w:bookmarkStart w:id="62" w:name="_Toc87889258"/>
      <w:bookmarkStart w:id="63" w:name="_Toc104502881"/>
      <w:bookmarkStart w:id="64" w:name="_Toc94170359"/>
      <w:r>
        <w:rPr>
          <w:rFonts w:cs="Arial"/>
          <w:b w:val="0"/>
          <w:bCs w:val="0"/>
        </w:rPr>
        <w:t>2.6.1</w:t>
      </w:r>
      <w:r>
        <w:rPr>
          <w:rFonts w:cs="Arial"/>
          <w:b w:val="0"/>
          <w:bCs w:val="0"/>
        </w:rPr>
        <w:tab/>
      </w:r>
      <w:r>
        <w:rPr>
          <w:rFonts w:cs="Arial"/>
          <w:b w:val="0"/>
          <w:bCs w:val="0"/>
        </w:rPr>
        <w:t>TN UL TPC</w:t>
      </w:r>
      <w:bookmarkEnd w:id="60"/>
      <w:bookmarkEnd w:id="61"/>
      <w:bookmarkEnd w:id="62"/>
      <w:bookmarkEnd w:id="63"/>
      <w:bookmarkEnd w:id="64"/>
    </w:p>
    <w:p>
      <w:pPr>
        <w:rPr>
          <w:rFonts w:eastAsia="MS Mincho"/>
          <w:lang w:eastAsia="ja-JP"/>
        </w:rPr>
      </w:pPr>
      <w:r>
        <w:rPr>
          <w:rFonts w:eastAsia="MS Mincho"/>
          <w:lang w:eastAsia="ja-JP"/>
        </w:rPr>
        <w:t>For uplink scenario, TPC model specified in Section 9.1 TR 36.942</w:t>
      </w:r>
      <w:r>
        <w:rPr>
          <w:color w:val="000000"/>
          <w:szCs w:val="18"/>
        </w:rPr>
        <w:t>[8]</w:t>
      </w:r>
      <w:r>
        <w:rPr>
          <w:rFonts w:eastAsia="MS Mincho"/>
          <w:lang w:eastAsia="ja-JP"/>
        </w:rPr>
        <w:t xml:space="preserve"> </w:t>
      </w:r>
      <w:r>
        <w:rPr>
          <w:rFonts w:eastAsia="等线"/>
        </w:rPr>
        <w:t>is</w:t>
      </w:r>
      <w:r>
        <w:rPr>
          <w:rFonts w:hint="eastAsia" w:eastAsia="等线"/>
        </w:rPr>
        <w:t xml:space="preserve"> </w:t>
      </w:r>
      <w:r>
        <w:rPr>
          <w:rFonts w:eastAsia="MS Mincho"/>
          <w:lang w:eastAsia="ja-JP"/>
        </w:rPr>
        <w:t>applied for TN with following parameters.</w:t>
      </w:r>
    </w:p>
    <w:p>
      <w:pPr>
        <w:pStyle w:val="42"/>
        <w:jc w:val="center"/>
      </w:pPr>
      <w:r>
        <w:object>
          <v:shape id="_x0000_i1025" o:spt="75" type="#_x0000_t75" style="height:43pt;width:180pt;" o:ole="t" fillcolor="#00CC99"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p>
      <w:r>
        <w:t xml:space="preserve">where: </w:t>
      </w:r>
    </w:p>
    <w:p>
      <w:pPr>
        <w:pStyle w:val="49"/>
      </w:pPr>
      <w:r>
        <w:t>-</w:t>
      </w:r>
      <w:r>
        <w:tab/>
      </w:r>
      <w:r>
        <w:t>P</w:t>
      </w:r>
      <w:r>
        <w:rPr>
          <w:vertAlign w:val="subscript"/>
        </w:rPr>
        <w:t>max</w:t>
      </w:r>
      <w:r>
        <w:t xml:space="preserve"> = 2</w:t>
      </w:r>
      <w:r>
        <w:rPr>
          <w:rFonts w:hint="eastAsia"/>
        </w:rPr>
        <w:t>3</w:t>
      </w:r>
      <w:r>
        <w:t xml:space="preserve">dBm, </w:t>
      </w:r>
    </w:p>
    <w:p>
      <w:pPr>
        <w:pStyle w:val="49"/>
      </w:pPr>
      <w:r>
        <w:t>-</w:t>
      </w:r>
      <w:r>
        <w:tab/>
      </w:r>
      <w:r>
        <w:t>R</w:t>
      </w:r>
      <w:r>
        <w:rPr>
          <w:vertAlign w:val="subscript"/>
        </w:rPr>
        <w:t>min</w:t>
      </w:r>
      <w:r>
        <w:t xml:space="preserve"> = </w:t>
      </w:r>
      <w:r>
        <w:rPr>
          <w:rFonts w:hint="eastAsia"/>
        </w:rPr>
        <w:t xml:space="preserve">TBD </w:t>
      </w:r>
      <w:r>
        <w:t xml:space="preserve">dB, </w:t>
      </w:r>
    </w:p>
    <w:p>
      <w:pPr>
        <w:pStyle w:val="49"/>
      </w:pPr>
      <w:r>
        <w:t>-</w:t>
      </w:r>
      <w:r>
        <w:tab/>
      </w:r>
      <w:r>
        <w:t>CL</w:t>
      </w:r>
      <w:r>
        <w:rPr>
          <w:vertAlign w:val="subscript"/>
        </w:rPr>
        <w:t>x-ile</w:t>
      </w:r>
      <w:r>
        <w:t xml:space="preserve"> and γ are set</w:t>
      </w:r>
      <w:r>
        <w:rPr>
          <w:rFonts w:hint="eastAsia"/>
        </w:rPr>
        <w:t xml:space="preserve"> as following</w:t>
      </w:r>
      <w:r>
        <w:t>:</w:t>
      </w:r>
    </w:p>
    <w:p>
      <w:pPr>
        <w:pStyle w:val="96"/>
        <w:rPr>
          <w:lang w:eastAsia="ja-JP"/>
        </w:rPr>
      </w:pPr>
      <w:r>
        <w:rPr>
          <w:lang w:val="sv-SE"/>
        </w:rPr>
        <w:t>-</w:t>
      </w:r>
      <w:r>
        <w:rPr>
          <w:lang w:val="sv-SE"/>
        </w:rPr>
        <w:tab/>
      </w:r>
      <w:r>
        <w:rPr>
          <w:lang w:val="sv-SE"/>
        </w:rPr>
        <w:t>CL</w:t>
      </w:r>
      <w:r>
        <w:rPr>
          <w:vertAlign w:val="subscript"/>
          <w:lang w:val="sv-SE"/>
        </w:rPr>
        <w:t>x-ile</w:t>
      </w:r>
      <w:r>
        <w:rPr>
          <w:lang w:val="sv-SE"/>
        </w:rPr>
        <w:t xml:space="preserve"> </w:t>
      </w:r>
      <w:r>
        <w:rPr>
          <w:lang w:val="sv-SE" w:eastAsia="ja-JP"/>
        </w:rPr>
        <w:t>= 88 + 10*log</w:t>
      </w:r>
      <w:r>
        <w:rPr>
          <w:vertAlign w:val="subscript"/>
          <w:lang w:val="sv-SE" w:eastAsia="ja-JP"/>
        </w:rPr>
        <w:t>10</w:t>
      </w:r>
      <w:r>
        <w:rPr>
          <w:rFonts w:eastAsia="等线"/>
          <w:vertAlign w:val="subscript"/>
          <w:lang w:val="sv-SE"/>
        </w:rPr>
        <w:t xml:space="preserve"> </w:t>
      </w:r>
      <w:r>
        <w:rPr>
          <w:lang w:val="sv-SE" w:eastAsia="ja-JP"/>
        </w:rPr>
        <w:t xml:space="preserve">(200/X) + 11 – Y, </w:t>
      </w:r>
      <w:r>
        <w:rPr>
          <w:lang w:eastAsia="ja-JP"/>
        </w:rPr>
        <w:t>where X is UL transmission BW (MHz) and Y is the BS noise figure</w:t>
      </w:r>
    </w:p>
    <w:p>
      <w:pPr>
        <w:pStyle w:val="96"/>
        <w:rPr>
          <w:lang w:eastAsia="ja-JP"/>
        </w:rPr>
      </w:pPr>
      <w:r>
        <w:t>-</w:t>
      </w:r>
      <w:r>
        <w:tab/>
      </w:r>
      <w:r>
        <w:t>γ</w:t>
      </w:r>
      <w:r>
        <w:rPr>
          <w:lang w:eastAsia="ja-JP"/>
        </w:rPr>
        <w:t xml:space="preserve"> = 1For uplink scenario, </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lang w:val="sv-SE"/>
        </w:rPr>
      </w:pPr>
      <w:bookmarkStart w:id="65" w:name="_Toc104122364"/>
      <w:bookmarkStart w:id="66" w:name="_Toc104210170"/>
      <w:bookmarkStart w:id="67" w:name="_Toc94170360"/>
      <w:bookmarkStart w:id="68" w:name="_Toc87889259"/>
      <w:bookmarkStart w:id="69" w:name="_Toc104502882"/>
      <w:r>
        <w:rPr>
          <w:rFonts w:cs="Arial"/>
          <w:b w:val="0"/>
          <w:bCs w:val="0"/>
        </w:rPr>
        <w:t>2.6.2</w:t>
      </w:r>
      <w:r>
        <w:rPr>
          <w:rFonts w:cs="Arial"/>
          <w:b w:val="0"/>
          <w:bCs w:val="0"/>
        </w:rPr>
        <w:tab/>
      </w:r>
      <w:r>
        <w:rPr>
          <w:rFonts w:hint="eastAsia" w:cs="Arial"/>
          <w:b w:val="0"/>
          <w:bCs w:val="0"/>
          <w:lang w:val="en-US" w:eastAsia="zh-CN"/>
        </w:rPr>
        <w:t>ATG</w:t>
      </w:r>
      <w:r>
        <w:rPr>
          <w:rFonts w:cs="Arial"/>
          <w:b w:val="0"/>
          <w:bCs w:val="0"/>
        </w:rPr>
        <w:t xml:space="preserve"> UL TPC</w:t>
      </w:r>
      <w:bookmarkEnd w:id="65"/>
      <w:bookmarkEnd w:id="66"/>
      <w:bookmarkEnd w:id="67"/>
      <w:bookmarkEnd w:id="68"/>
      <w:bookmarkEnd w:id="69"/>
    </w:p>
    <w:p>
      <w:pPr>
        <w:rPr>
          <w:lang w:val="sv-SE"/>
        </w:rPr>
      </w:pPr>
      <w:r>
        <w:rPr>
          <w:lang w:val="sv-SE"/>
        </w:rPr>
        <w:t xml:space="preserve">For the coexistence study, the same TPC model of TN for </w:t>
      </w:r>
      <w:r>
        <w:rPr>
          <w:rFonts w:hint="eastAsia"/>
          <w:lang w:val="en-US" w:eastAsia="zh-CN"/>
        </w:rPr>
        <w:t>ATG</w:t>
      </w:r>
      <w:r>
        <w:rPr>
          <w:lang w:val="sv-SE"/>
        </w:rPr>
        <w:t xml:space="preserve"> UL scenarios is adopted</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lang w:val="sv-SE"/>
        </w:rPr>
      </w:pPr>
      <w:bookmarkStart w:id="70" w:name="_Toc87889260"/>
      <w:bookmarkStart w:id="71" w:name="_Toc104122365"/>
      <w:bookmarkStart w:id="72" w:name="_Toc94170361"/>
      <w:bookmarkStart w:id="73" w:name="_Toc104502883"/>
      <w:bookmarkStart w:id="74" w:name="_Toc104210171"/>
      <w:r>
        <w:rPr>
          <w:rFonts w:cs="Arial"/>
          <w:b w:val="0"/>
          <w:bCs w:val="0"/>
        </w:rPr>
        <w:t>2.6.3</w:t>
      </w:r>
      <w:r>
        <w:rPr>
          <w:rFonts w:cs="Arial"/>
          <w:b w:val="0"/>
          <w:bCs w:val="0"/>
        </w:rPr>
        <w:tab/>
      </w:r>
      <w:r>
        <w:rPr>
          <w:rFonts w:hint="eastAsia" w:cs="Arial"/>
          <w:b w:val="0"/>
          <w:bCs w:val="0"/>
          <w:lang w:val="en-US" w:eastAsia="zh-CN"/>
        </w:rPr>
        <w:t>ATG</w:t>
      </w:r>
      <w:r>
        <w:rPr>
          <w:rFonts w:cs="Arial"/>
          <w:b w:val="0"/>
          <w:bCs w:val="0"/>
        </w:rPr>
        <w:t xml:space="preserve"> DL TPC</w:t>
      </w:r>
      <w:bookmarkEnd w:id="70"/>
      <w:bookmarkEnd w:id="71"/>
      <w:bookmarkEnd w:id="72"/>
      <w:bookmarkEnd w:id="73"/>
      <w:bookmarkEnd w:id="74"/>
    </w:p>
    <w:p>
      <w:pPr>
        <w:rPr>
          <w:lang w:val="sv-SE"/>
        </w:rPr>
      </w:pPr>
      <w:r>
        <w:rPr>
          <w:lang w:val="sv-SE"/>
        </w:rPr>
        <w:t>For downlink scenario, no power control scheme is applied.</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75" w:name="_Toc87889261"/>
      <w:bookmarkStart w:id="76" w:name="_Toc104502886"/>
      <w:bookmarkStart w:id="77" w:name="_Toc94170362"/>
      <w:bookmarkStart w:id="78" w:name="_Toc104122368"/>
      <w:bookmarkStart w:id="79" w:name="_Toc104210174"/>
      <w:r>
        <w:rPr>
          <w:rFonts w:hint="eastAsia" w:ascii="Arial" w:hAnsi="Arial" w:cs="Arial"/>
          <w:sz w:val="28"/>
          <w:szCs w:val="28"/>
          <w:lang w:val="en-US" w:eastAsia="zh-CN"/>
        </w:rPr>
        <w:t>2.7. Received power model</w:t>
      </w:r>
      <w:bookmarkEnd w:id="75"/>
      <w:bookmarkEnd w:id="76"/>
      <w:bookmarkEnd w:id="77"/>
      <w:bookmarkEnd w:id="78"/>
      <w:bookmarkEnd w:id="79"/>
    </w:p>
    <w:p>
      <w:r>
        <w:t>The received power in downlink and uplink scenarios is defined as below:</w:t>
      </w:r>
    </w:p>
    <w:p>
      <w:pPr>
        <w:pStyle w:val="42"/>
        <w:jc w:val="center"/>
        <w:rPr>
          <w:i/>
        </w:rPr>
      </w:pPr>
      <w:r>
        <w:rPr>
          <w:i/>
        </w:rPr>
        <w:t>RX_PWR = TX_PWR – Path loss + G_TX + G_RX</w:t>
      </w:r>
    </w:p>
    <w:p>
      <w:r>
        <w:rPr>
          <w:rFonts w:hint="eastAsia"/>
          <w:lang w:eastAsia="zh-CN"/>
        </w:rPr>
        <w:t>w</w:t>
      </w:r>
      <w:r>
        <w:t>here:</w:t>
      </w:r>
      <w:r>
        <w:tab/>
      </w:r>
      <w:r>
        <w:tab/>
      </w:r>
      <w:r>
        <w:tab/>
      </w:r>
    </w:p>
    <w:p>
      <w:pPr>
        <w:pStyle w:val="49"/>
      </w:pPr>
      <w:r>
        <w:t>-</w:t>
      </w:r>
      <w:r>
        <w:tab/>
      </w:r>
      <w:r>
        <w:t>RX_PWR is the received power</w:t>
      </w:r>
    </w:p>
    <w:p>
      <w:pPr>
        <w:pStyle w:val="49"/>
      </w:pPr>
      <w:r>
        <w:t>-</w:t>
      </w:r>
      <w:r>
        <w:tab/>
      </w:r>
      <w:r>
        <w:t>TX_PWR is the transmitted power</w:t>
      </w:r>
    </w:p>
    <w:p>
      <w:pPr>
        <w:pStyle w:val="49"/>
      </w:pPr>
      <w:r>
        <w:t>-</w:t>
      </w:r>
      <w:r>
        <w:tab/>
      </w:r>
      <w:r>
        <w:t>G_TX is the transmitter antenna gain (directional array gain)</w:t>
      </w:r>
    </w:p>
    <w:p>
      <w:pPr>
        <w:pStyle w:val="49"/>
      </w:pPr>
      <w:r>
        <w:t>-</w:t>
      </w:r>
      <w:r>
        <w:tab/>
      </w:r>
      <w:r>
        <w:t>G_RX is the receiver antenna gain (directional array gain).</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80" w:name="_Toc104502887"/>
      <w:bookmarkStart w:id="81" w:name="_Toc104210175"/>
      <w:bookmarkStart w:id="82" w:name="_Toc104122369"/>
      <w:bookmarkStart w:id="83" w:name="_Toc87889262"/>
      <w:bookmarkStart w:id="84" w:name="_Toc94170363"/>
      <w:r>
        <w:rPr>
          <w:rFonts w:hint="eastAsia" w:ascii="Arial" w:hAnsi="Arial" w:cs="Arial"/>
          <w:sz w:val="28"/>
          <w:szCs w:val="28"/>
          <w:lang w:val="en-US" w:eastAsia="zh-CN"/>
        </w:rPr>
        <w:t>2.8. Performance metric</w:t>
      </w:r>
      <w:bookmarkEnd w:id="80"/>
      <w:bookmarkEnd w:id="81"/>
      <w:bookmarkEnd w:id="82"/>
      <w:bookmarkEnd w:id="83"/>
      <w:bookmarkEnd w:id="84"/>
    </w:p>
    <w:p>
      <w:r>
        <w:rPr>
          <w:rFonts w:hint="eastAsia"/>
        </w:rPr>
        <w:t>For NR,</w:t>
      </w:r>
      <w:r>
        <w:t xml:space="preserve"> t</w:t>
      </w:r>
      <w:r>
        <w:rPr>
          <w:rFonts w:hint="eastAsia"/>
        </w:rPr>
        <w:t>he average throughput loss and 5%-ile throughput loss should be less than 5%.</w:t>
      </w:r>
    </w:p>
    <w:p>
      <w:r>
        <w:t>F</w:t>
      </w:r>
      <w:r>
        <w:rPr>
          <w:rFonts w:hint="eastAsia"/>
        </w:rPr>
        <w:t>or</w:t>
      </w:r>
      <w:r>
        <w:rPr>
          <w:rFonts w:hint="eastAsia"/>
          <w:lang w:val="en-US" w:eastAsia="zh-CN"/>
        </w:rPr>
        <w:t xml:space="preserve"> ATG</w:t>
      </w:r>
      <w:r>
        <w:rPr>
          <w:rFonts w:hint="eastAsia"/>
        </w:rPr>
        <w:t>,</w:t>
      </w:r>
      <w:r>
        <w:t xml:space="preserve"> the average throughput loss and 5%-ile throughput loss should be less than 5%.</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bookmarkStart w:id="85" w:name="_Toc94170364"/>
      <w:bookmarkStart w:id="86" w:name="_Toc87889263"/>
      <w:bookmarkStart w:id="87" w:name="_Toc104122370"/>
      <w:bookmarkStart w:id="88" w:name="_Toc104210176"/>
      <w:bookmarkStart w:id="89" w:name="_Toc104502888"/>
      <w:r>
        <w:rPr>
          <w:rFonts w:hint="eastAsia" w:ascii="Arial" w:hAnsi="Arial" w:cs="Arial"/>
          <w:sz w:val="28"/>
          <w:szCs w:val="28"/>
          <w:lang w:val="en-US" w:eastAsia="zh-CN"/>
        </w:rPr>
        <w:t>2.9. Throughput ~ SNR mapping</w:t>
      </w:r>
      <w:bookmarkEnd w:id="85"/>
      <w:bookmarkEnd w:id="86"/>
      <w:bookmarkEnd w:id="87"/>
      <w:bookmarkEnd w:id="88"/>
      <w:bookmarkEnd w:id="89"/>
    </w:p>
    <w:p>
      <w:r>
        <w:t xml:space="preserve">The following equations </w:t>
      </w:r>
      <w:r>
        <w:rPr>
          <w:lang w:eastAsia="ja-JP"/>
        </w:rPr>
        <w:t>approximate</w:t>
      </w:r>
      <w:r>
        <w:t xml:space="preserve"> the throughput over a channel with a given</w:t>
      </w:r>
      <w:r>
        <w:rPr>
          <w:rFonts w:hint="eastAsia"/>
          <w:lang w:eastAsia="zh-CN"/>
        </w:rPr>
        <w:t xml:space="preserve"> SNIR</w:t>
      </w:r>
      <w:r>
        <w:t>, when using link adaptation:</w:t>
      </w:r>
    </w:p>
    <w:p>
      <w:pPr>
        <w:rPr>
          <w:rFonts w:eastAsia="MS Mincho" w:cs="Arial"/>
          <w:sz w:val="22"/>
          <w:szCs w:val="22"/>
        </w:rPr>
      </w:pPr>
      <w:r>
        <w:drawing>
          <wp:inline distT="0" distB="0" distL="114300" distR="114300">
            <wp:extent cx="5006340" cy="922020"/>
            <wp:effectExtent l="0" t="0" r="3810" b="1143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pic:cNvPicPr>
                      <a:picLocks noChangeAspect="1"/>
                    </pic:cNvPicPr>
                  </pic:nvPicPr>
                  <pic:blipFill>
                    <a:blip r:embed="rId9"/>
                    <a:stretch>
                      <a:fillRect/>
                    </a:stretch>
                  </pic:blipFill>
                  <pic:spPr>
                    <a:xfrm>
                      <a:off x="0" y="0"/>
                      <a:ext cx="5006340" cy="922020"/>
                    </a:xfrm>
                    <a:prstGeom prst="rect">
                      <a:avLst/>
                    </a:prstGeom>
                    <a:noFill/>
                    <a:ln>
                      <a:noFill/>
                    </a:ln>
                  </pic:spPr>
                </pic:pic>
              </a:graphicData>
            </a:graphic>
          </wp:inline>
        </w:drawing>
      </w:r>
    </w:p>
    <w:p>
      <w:pPr>
        <w:rPr>
          <w:rFonts w:eastAsia="MS Mincho" w:cs="Arial"/>
          <w:sz w:val="22"/>
          <w:szCs w:val="22"/>
        </w:rPr>
      </w:pPr>
      <w:r>
        <w:rPr>
          <w:rFonts w:eastAsia="MS Mincho" w:cs="Arial"/>
          <w:sz w:val="22"/>
          <w:szCs w:val="22"/>
        </w:rPr>
        <w:t>Where:</w:t>
      </w:r>
      <w:r>
        <w:rPr>
          <w:rFonts w:eastAsia="MS Mincho" w:cs="Arial"/>
          <w:sz w:val="22"/>
          <w:szCs w:val="22"/>
        </w:rPr>
        <w:tab/>
      </w:r>
    </w:p>
    <w:p>
      <w:r>
        <w:rPr>
          <w:rFonts w:eastAsia="MS Mincho" w:cs="Arial"/>
          <w:sz w:val="22"/>
          <w:szCs w:val="22"/>
        </w:rPr>
        <w:t>S(S</w:t>
      </w:r>
      <w:r>
        <w:rPr>
          <w:rFonts w:eastAsia="宋体" w:cs="Arial"/>
          <w:sz w:val="22"/>
          <w:szCs w:val="22"/>
        </w:rPr>
        <w:t>NI</w:t>
      </w:r>
      <w:r>
        <w:rPr>
          <w:rFonts w:eastAsia="MS Mincho" w:cs="Arial"/>
          <w:sz w:val="22"/>
          <w:szCs w:val="22"/>
        </w:rPr>
        <w:t>R)</w:t>
      </w:r>
      <w:r>
        <w:rPr>
          <w:rFonts w:eastAsia="MS Mincho" w:cs="Arial"/>
          <w:sz w:val="22"/>
          <w:szCs w:val="22"/>
        </w:rPr>
        <w:tab/>
      </w:r>
      <w:r>
        <w:rPr>
          <w:rFonts w:eastAsia="MS Mincho" w:cs="Arial"/>
          <w:sz w:val="22"/>
          <w:szCs w:val="22"/>
        </w:rPr>
        <w:t>Shannon bound, S(S</w:t>
      </w:r>
      <w:r>
        <w:rPr>
          <w:rFonts w:eastAsia="宋体" w:cs="Arial"/>
          <w:sz w:val="22"/>
          <w:szCs w:val="22"/>
        </w:rPr>
        <w:t>NI</w:t>
      </w:r>
      <w:r>
        <w:rPr>
          <w:rFonts w:eastAsia="MS Mincho" w:cs="Arial"/>
          <w:sz w:val="22"/>
          <w:szCs w:val="22"/>
        </w:rPr>
        <w:t>R) =log</w:t>
      </w:r>
      <w:r>
        <w:rPr>
          <w:rFonts w:eastAsia="MS Mincho" w:cs="Arial"/>
          <w:sz w:val="22"/>
          <w:szCs w:val="22"/>
          <w:vertAlign w:val="subscript"/>
        </w:rPr>
        <w:t>2</w:t>
      </w:r>
      <w:r>
        <w:rPr>
          <w:rFonts w:eastAsia="MS Mincho" w:cs="Arial"/>
          <w:sz w:val="22"/>
          <w:szCs w:val="22"/>
        </w:rPr>
        <w:t>(1+S</w:t>
      </w:r>
      <w:r>
        <w:rPr>
          <w:rFonts w:eastAsia="宋体" w:cs="Arial"/>
          <w:sz w:val="22"/>
          <w:szCs w:val="22"/>
        </w:rPr>
        <w:t>NI</w:t>
      </w:r>
      <w:r>
        <w:rPr>
          <w:rFonts w:eastAsia="MS Mincho" w:cs="Arial"/>
          <w:sz w:val="22"/>
          <w:szCs w:val="22"/>
        </w:rPr>
        <w:t>R) [bps/Hz]</w:t>
      </w:r>
      <w:r>
        <w:rPr>
          <w:rFonts w:eastAsia="MS Mincho" w:cs="Arial"/>
          <w:sz w:val="22"/>
          <w:szCs w:val="22"/>
          <w:lang w:eastAsia="ja-JP"/>
        </w:rPr>
        <w:br w:type="textWrapping"/>
      </w:r>
      <w:r>
        <w:rPr>
          <w:rFonts w:eastAsia="MS Mincho" w:cs="Arial"/>
          <w:sz w:val="22"/>
          <w:szCs w:val="22"/>
        </w:rPr>
        <w:sym w:font="Symbol" w:char="F061"/>
      </w:r>
      <w:r>
        <w:rPr>
          <w:rFonts w:eastAsia="MS Mincho" w:cs="Arial"/>
          <w:sz w:val="22"/>
          <w:szCs w:val="22"/>
        </w:rPr>
        <w:tab/>
      </w:r>
      <w:r>
        <w:rPr>
          <w:rFonts w:eastAsia="MS Mincho" w:cs="Arial"/>
          <w:sz w:val="22"/>
          <w:szCs w:val="22"/>
        </w:rPr>
        <w:tab/>
      </w:r>
      <w:r>
        <w:rPr>
          <w:rFonts w:eastAsia="MS Mincho" w:cs="Arial"/>
          <w:sz w:val="22"/>
          <w:szCs w:val="22"/>
        </w:rPr>
        <w:t>Attenuation factor, representing implementation losses</w:t>
      </w:r>
      <w:r>
        <w:rPr>
          <w:rFonts w:eastAsia="MS Mincho" w:cs="Arial"/>
          <w:sz w:val="22"/>
          <w:szCs w:val="22"/>
          <w:lang w:eastAsia="ja-JP"/>
        </w:rPr>
        <w:br w:type="textWrapping"/>
      </w:r>
      <w:r>
        <w:t>SNIR</w:t>
      </w:r>
      <w:r>
        <w:rPr>
          <w:vertAlign w:val="subscript"/>
        </w:rPr>
        <w:t>MIN</w:t>
      </w:r>
      <w:r>
        <w:t xml:space="preserve">  </w:t>
      </w:r>
      <w:r>
        <w:tab/>
      </w:r>
      <w:r>
        <w:t>Minimum SN</w:t>
      </w:r>
      <w:r>
        <w:rPr>
          <w:lang w:eastAsia="ja-JP"/>
        </w:rPr>
        <w:t>I</w:t>
      </w:r>
      <w:r>
        <w:t>R of the code</w:t>
      </w:r>
      <w:r>
        <w:rPr>
          <w:rFonts w:hint="eastAsia"/>
          <w:lang w:eastAsia="zh-CN"/>
        </w:rPr>
        <w:t xml:space="preserve"> </w:t>
      </w:r>
      <w:r>
        <w:t>set, dB</w:t>
      </w:r>
      <w:r>
        <w:rPr>
          <w:lang w:eastAsia="ja-JP"/>
        </w:rPr>
        <w:br w:type="textWrapping"/>
      </w:r>
      <w:r>
        <w:t>SN</w:t>
      </w:r>
      <w:r>
        <w:rPr>
          <w:lang w:eastAsia="ja-JP"/>
        </w:rPr>
        <w:t>I</w:t>
      </w:r>
      <w:r>
        <w:t>R</w:t>
      </w:r>
      <w:r>
        <w:rPr>
          <w:vertAlign w:val="subscript"/>
        </w:rPr>
        <w:t>MAX</w:t>
      </w:r>
      <w:r>
        <w:t xml:space="preserve"> </w:t>
      </w:r>
      <w:r>
        <w:tab/>
      </w:r>
      <w:r>
        <w:t>Maximum SN</w:t>
      </w:r>
      <w:r>
        <w:rPr>
          <w:lang w:eastAsia="ja-JP"/>
        </w:rPr>
        <w:t>I</w:t>
      </w:r>
      <w:r>
        <w:t xml:space="preserve">R of the </w:t>
      </w:r>
      <w:r>
        <w:rPr>
          <w:rFonts w:hint="eastAsia"/>
          <w:lang w:eastAsia="zh-CN"/>
        </w:rPr>
        <w:t>code set</w:t>
      </w:r>
      <w:r>
        <w:t>, dB</w:t>
      </w:r>
    </w:p>
    <w:p>
      <w:pPr>
        <w:rPr>
          <w:lang w:eastAsia="zh-CN"/>
        </w:rPr>
      </w:pPr>
    </w:p>
    <w:p>
      <w:pPr>
        <w:rPr>
          <w:sz w:val="22"/>
          <w:szCs w:val="22"/>
        </w:rPr>
      </w:pPr>
      <w:r>
        <w:rPr>
          <w:sz w:val="22"/>
          <w:szCs w:val="22"/>
        </w:rPr>
        <w:t xml:space="preserve">The parameters α, </w:t>
      </w:r>
      <w:r>
        <w:rPr>
          <w:rFonts w:hint="eastAsia"/>
          <w:sz w:val="22"/>
          <w:szCs w:val="22"/>
          <w:lang w:eastAsia="zh-CN"/>
        </w:rPr>
        <w:t>SNIR</w:t>
      </w:r>
      <w:r>
        <w:rPr>
          <w:rFonts w:hint="eastAsia"/>
          <w:sz w:val="22"/>
          <w:szCs w:val="22"/>
          <w:vertAlign w:val="subscript"/>
          <w:lang w:eastAsia="zh-CN"/>
        </w:rPr>
        <w:t xml:space="preserve">MIN </w:t>
      </w:r>
      <w:r>
        <w:rPr>
          <w:sz w:val="22"/>
          <w:szCs w:val="22"/>
        </w:rPr>
        <w:t xml:space="preserve">and </w:t>
      </w:r>
      <w:r>
        <w:rPr>
          <w:rFonts w:hint="eastAsia"/>
          <w:sz w:val="22"/>
          <w:szCs w:val="22"/>
          <w:lang w:eastAsia="zh-CN"/>
        </w:rPr>
        <w:t>SNIR</w:t>
      </w:r>
      <w:r>
        <w:rPr>
          <w:rFonts w:hint="eastAsia"/>
          <w:sz w:val="22"/>
          <w:szCs w:val="22"/>
          <w:vertAlign w:val="subscript"/>
          <w:lang w:eastAsia="zh-CN"/>
        </w:rPr>
        <w:t xml:space="preserve">MAX </w:t>
      </w:r>
      <w:r>
        <w:rPr>
          <w:sz w:val="22"/>
          <w:szCs w:val="22"/>
        </w:rPr>
        <w:t xml:space="preserve">can be chosen to represent different modem implementations and link conditions. </w:t>
      </w:r>
      <w:bookmarkStart w:id="90" w:name="OLE_LINK2"/>
      <w:bookmarkStart w:id="91" w:name="OLE_LINK1"/>
      <w:r>
        <w:rPr>
          <w:sz w:val="22"/>
          <w:szCs w:val="22"/>
        </w:rPr>
        <w:t xml:space="preserve">The parameters proposed in table </w:t>
      </w:r>
      <w:r>
        <w:rPr>
          <w:sz w:val="22"/>
          <w:szCs w:val="22"/>
          <w:lang w:eastAsia="ja-JP"/>
        </w:rPr>
        <w:t>2</w:t>
      </w:r>
      <w:r>
        <w:rPr>
          <w:sz w:val="22"/>
          <w:szCs w:val="22"/>
          <w:lang w:eastAsia="zh-CN"/>
        </w:rPr>
        <w:t xml:space="preserve"> </w:t>
      </w:r>
      <w:r>
        <w:rPr>
          <w:sz w:val="22"/>
          <w:szCs w:val="22"/>
        </w:rPr>
        <w:t xml:space="preserve">represent </w:t>
      </w:r>
      <w:bookmarkEnd w:id="90"/>
      <w:bookmarkEnd w:id="91"/>
      <w:r>
        <w:rPr>
          <w:sz w:val="22"/>
          <w:szCs w:val="22"/>
        </w:rPr>
        <w:t xml:space="preserve">a baseline case, which assumes: </w:t>
      </w:r>
    </w:p>
    <w:p>
      <w:pPr>
        <w:numPr>
          <w:ilvl w:val="0"/>
          <w:numId w:val="4"/>
        </w:numPr>
        <w:overflowPunct/>
        <w:autoSpaceDE/>
        <w:autoSpaceDN/>
        <w:adjustRightInd/>
        <w:textAlignment w:val="auto"/>
        <w:rPr>
          <w:rFonts w:eastAsia="宋体" w:cs="Arial"/>
          <w:sz w:val="22"/>
          <w:szCs w:val="22"/>
        </w:rPr>
      </w:pPr>
      <w:r>
        <w:rPr>
          <w:rFonts w:eastAsia="宋体" w:cs="Arial"/>
          <w:sz w:val="22"/>
          <w:szCs w:val="22"/>
        </w:rPr>
        <w:t>1:1 antenna configurations</w:t>
      </w:r>
    </w:p>
    <w:p>
      <w:pPr>
        <w:numPr>
          <w:ilvl w:val="0"/>
          <w:numId w:val="4"/>
        </w:numPr>
        <w:overflowPunct/>
        <w:autoSpaceDE/>
        <w:autoSpaceDN/>
        <w:adjustRightInd/>
        <w:textAlignment w:val="auto"/>
        <w:rPr>
          <w:rFonts w:eastAsia="宋体" w:cs="Arial"/>
          <w:sz w:val="22"/>
          <w:szCs w:val="22"/>
        </w:rPr>
      </w:pPr>
      <w:r>
        <w:rPr>
          <w:rFonts w:eastAsia="宋体" w:cs="Arial"/>
          <w:sz w:val="22"/>
          <w:szCs w:val="22"/>
        </w:rPr>
        <w:t xml:space="preserve">AWGN channel model </w:t>
      </w:r>
    </w:p>
    <w:p>
      <w:pPr>
        <w:numPr>
          <w:ilvl w:val="0"/>
          <w:numId w:val="4"/>
        </w:numPr>
        <w:overflowPunct/>
        <w:autoSpaceDE/>
        <w:autoSpaceDN/>
        <w:adjustRightInd/>
        <w:textAlignment w:val="auto"/>
        <w:rPr>
          <w:rFonts w:eastAsia="宋体" w:cs="Arial"/>
          <w:sz w:val="22"/>
          <w:szCs w:val="22"/>
        </w:rPr>
      </w:pPr>
      <w:r>
        <w:rPr>
          <w:rFonts w:eastAsia="宋体" w:cs="Arial"/>
          <w:sz w:val="22"/>
          <w:szCs w:val="22"/>
        </w:rPr>
        <w:t xml:space="preserve">Link Adaptation (see </w:t>
      </w:r>
      <w:r>
        <w:rPr>
          <w:sz w:val="22"/>
          <w:szCs w:val="22"/>
        </w:rPr>
        <w:t xml:space="preserve">table </w:t>
      </w:r>
      <w:r>
        <w:rPr>
          <w:sz w:val="22"/>
          <w:szCs w:val="22"/>
          <w:lang w:eastAsia="ja-JP"/>
        </w:rPr>
        <w:t>2</w:t>
      </w:r>
      <w:r>
        <w:rPr>
          <w:rFonts w:eastAsia="宋体" w:cs="Arial"/>
          <w:sz w:val="22"/>
          <w:szCs w:val="22"/>
        </w:rPr>
        <w:t xml:space="preserve"> for details of the highest and lowest rate codes)</w:t>
      </w:r>
    </w:p>
    <w:p>
      <w:pPr>
        <w:numPr>
          <w:ilvl w:val="0"/>
          <w:numId w:val="4"/>
        </w:numPr>
        <w:overflowPunct/>
        <w:autoSpaceDE/>
        <w:autoSpaceDN/>
        <w:adjustRightInd/>
        <w:textAlignment w:val="auto"/>
        <w:rPr>
          <w:rFonts w:eastAsia="宋体" w:cs="Arial"/>
          <w:sz w:val="22"/>
          <w:szCs w:val="22"/>
        </w:rPr>
      </w:pPr>
      <w:r>
        <w:rPr>
          <w:rFonts w:eastAsia="宋体" w:cs="Arial"/>
          <w:sz w:val="22"/>
          <w:szCs w:val="22"/>
        </w:rPr>
        <w:t>No HARQ</w:t>
      </w:r>
    </w:p>
    <w:p>
      <w:pPr>
        <w:pStyle w:val="11"/>
        <w:jc w:val="center"/>
        <w:rPr>
          <w:rFonts w:eastAsia="宋体"/>
        </w:rPr>
      </w:pPr>
      <w:r>
        <w:t xml:space="preserve">Table 2: </w:t>
      </w:r>
      <w:r>
        <w:rPr>
          <w:rFonts w:eastAsia="MS Mincho"/>
        </w:rPr>
        <w:t>Parameters describing baseline Link Level performance for</w:t>
      </w:r>
      <w:r>
        <w:t xml:space="preserve"> </w:t>
      </w:r>
      <w:r>
        <w:rPr>
          <w:rFonts w:eastAsia="MS Mincho"/>
        </w:rPr>
        <w:t>5G NR</w:t>
      </w:r>
    </w:p>
    <w:tbl>
      <w:tblPr>
        <w:tblStyle w:val="23"/>
        <w:tblW w:w="72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423"/>
        <w:gridCol w:w="525"/>
        <w:gridCol w:w="525"/>
        <w:gridCol w:w="478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8" w:hRule="atLeast"/>
          <w:jc w:val="center"/>
        </w:trPr>
        <w:tc>
          <w:tcPr>
            <w:tcW w:w="0" w:type="auto"/>
            <w:noWrap/>
            <w:vAlign w:val="bottom"/>
          </w:tcPr>
          <w:p>
            <w:pPr>
              <w:keepNext/>
              <w:keepLines/>
              <w:jc w:val="center"/>
              <w:rPr>
                <w:rFonts w:eastAsia="MS Mincho" w:cs="Arial"/>
                <w:b/>
                <w:sz w:val="22"/>
                <w:szCs w:val="22"/>
                <w:lang w:bidi="he-IL"/>
              </w:rPr>
            </w:pPr>
            <w:r>
              <w:rPr>
                <w:rFonts w:eastAsia="MS Mincho" w:cs="Arial"/>
                <w:b/>
                <w:sz w:val="22"/>
                <w:szCs w:val="22"/>
                <w:lang w:bidi="he-IL"/>
              </w:rPr>
              <w:t xml:space="preserve">Parameter </w:t>
            </w:r>
          </w:p>
        </w:tc>
        <w:tc>
          <w:tcPr>
            <w:tcW w:w="0" w:type="auto"/>
            <w:vAlign w:val="bottom"/>
          </w:tcPr>
          <w:p>
            <w:pPr>
              <w:keepNext/>
              <w:keepLines/>
              <w:jc w:val="center"/>
              <w:rPr>
                <w:rFonts w:eastAsia="MS Mincho" w:cs="Arial"/>
                <w:b/>
                <w:sz w:val="22"/>
                <w:szCs w:val="22"/>
                <w:lang w:bidi="he-IL"/>
              </w:rPr>
            </w:pPr>
            <w:r>
              <w:rPr>
                <w:rFonts w:eastAsia="MS Mincho" w:cs="Arial"/>
                <w:b/>
                <w:sz w:val="22"/>
                <w:szCs w:val="22"/>
                <w:lang w:bidi="he-IL"/>
              </w:rPr>
              <w:t xml:space="preserve">DL </w:t>
            </w:r>
          </w:p>
        </w:tc>
        <w:tc>
          <w:tcPr>
            <w:tcW w:w="0" w:type="auto"/>
            <w:vAlign w:val="bottom"/>
          </w:tcPr>
          <w:p>
            <w:pPr>
              <w:keepNext/>
              <w:keepLines/>
              <w:jc w:val="center"/>
              <w:rPr>
                <w:rFonts w:eastAsia="MS Mincho" w:cs="Arial"/>
                <w:b/>
                <w:sz w:val="22"/>
                <w:szCs w:val="22"/>
                <w:lang w:bidi="he-IL"/>
              </w:rPr>
            </w:pPr>
            <w:r>
              <w:rPr>
                <w:rFonts w:eastAsia="MS Mincho" w:cs="Arial"/>
                <w:b/>
                <w:sz w:val="22"/>
                <w:szCs w:val="22"/>
                <w:lang w:bidi="he-IL"/>
              </w:rPr>
              <w:t xml:space="preserve">UL </w:t>
            </w:r>
          </w:p>
        </w:tc>
        <w:tc>
          <w:tcPr>
            <w:tcW w:w="0" w:type="auto"/>
            <w:noWrap/>
            <w:vAlign w:val="bottom"/>
          </w:tcPr>
          <w:p>
            <w:pPr>
              <w:keepNext/>
              <w:keepLines/>
              <w:jc w:val="center"/>
              <w:rPr>
                <w:rFonts w:eastAsia="MS Mincho" w:cs="Arial"/>
                <w:b/>
                <w:sz w:val="22"/>
                <w:szCs w:val="22"/>
                <w:lang w:bidi="he-IL"/>
              </w:rPr>
            </w:pPr>
            <w:r>
              <w:rPr>
                <w:rFonts w:eastAsia="MS Mincho" w:cs="Arial"/>
                <w:b/>
                <w:sz w:val="22"/>
                <w:szCs w:val="22"/>
                <w:lang w:bidi="he-IL"/>
              </w:rPr>
              <w:t xml:space="preserve">Notes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8" w:hRule="atLeast"/>
          <w:jc w:val="center"/>
        </w:trPr>
        <w:tc>
          <w:tcPr>
            <w:tcW w:w="0" w:type="auto"/>
            <w:noWrap/>
            <w:vAlign w:val="bottom"/>
          </w:tcPr>
          <w:p>
            <w:pPr>
              <w:keepNext/>
              <w:keepLines/>
              <w:jc w:val="center"/>
              <w:rPr>
                <w:rFonts w:eastAsia="MS Mincho" w:cs="Arial"/>
                <w:sz w:val="22"/>
                <w:szCs w:val="22"/>
              </w:rPr>
            </w:pPr>
            <w:r>
              <w:rPr>
                <w:rFonts w:eastAsia="MS Mincho" w:cs="Arial"/>
                <w:sz w:val="22"/>
                <w:szCs w:val="22"/>
              </w:rPr>
              <w:t>α</w:t>
            </w:r>
          </w:p>
        </w:tc>
        <w:tc>
          <w:tcPr>
            <w:tcW w:w="0" w:type="auto"/>
            <w:vAlign w:val="bottom"/>
          </w:tcPr>
          <w:p>
            <w:pPr>
              <w:keepNext/>
              <w:keepLines/>
              <w:jc w:val="center"/>
              <w:rPr>
                <w:rFonts w:eastAsia="MS Mincho" w:cs="Arial"/>
                <w:sz w:val="22"/>
                <w:szCs w:val="22"/>
              </w:rPr>
            </w:pPr>
            <w:r>
              <w:rPr>
                <w:rFonts w:eastAsia="MS Mincho" w:cs="Arial"/>
                <w:sz w:val="22"/>
                <w:szCs w:val="22"/>
              </w:rPr>
              <w:t xml:space="preserve">0.6 </w:t>
            </w:r>
          </w:p>
        </w:tc>
        <w:tc>
          <w:tcPr>
            <w:tcW w:w="0" w:type="auto"/>
            <w:vAlign w:val="bottom"/>
          </w:tcPr>
          <w:p>
            <w:pPr>
              <w:keepNext/>
              <w:keepLines/>
              <w:jc w:val="center"/>
              <w:rPr>
                <w:rFonts w:eastAsia="MS Mincho" w:cs="Arial"/>
                <w:sz w:val="22"/>
                <w:szCs w:val="22"/>
              </w:rPr>
            </w:pPr>
            <w:r>
              <w:rPr>
                <w:rFonts w:eastAsia="MS Mincho" w:cs="Arial"/>
                <w:sz w:val="22"/>
                <w:szCs w:val="22"/>
              </w:rPr>
              <w:t xml:space="preserve">0.4 </w:t>
            </w:r>
          </w:p>
        </w:tc>
        <w:tc>
          <w:tcPr>
            <w:tcW w:w="0" w:type="auto"/>
            <w:noWrap/>
            <w:vAlign w:val="bottom"/>
          </w:tcPr>
          <w:p>
            <w:pPr>
              <w:keepNext/>
              <w:keepLines/>
              <w:jc w:val="center"/>
              <w:rPr>
                <w:rFonts w:eastAsia="MS Mincho" w:cs="Arial"/>
                <w:sz w:val="22"/>
                <w:szCs w:val="22"/>
              </w:rPr>
            </w:pPr>
            <w:r>
              <w:rPr>
                <w:rFonts w:eastAsia="MS Mincho" w:cs="Arial"/>
                <w:sz w:val="22"/>
                <w:szCs w:val="22"/>
              </w:rPr>
              <w:t xml:space="preserve">Represents implementation losses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noWrap/>
            <w:vAlign w:val="bottom"/>
          </w:tcPr>
          <w:p>
            <w:pPr>
              <w:pStyle w:val="35"/>
              <w:rPr>
                <w:rFonts w:ascii="Times New Roman" w:hAnsi="Times New Roman"/>
                <w:sz w:val="22"/>
                <w:szCs w:val="22"/>
              </w:rPr>
            </w:pPr>
            <w:r>
              <w:rPr>
                <w:rFonts w:ascii="Times New Roman" w:hAnsi="Times New Roman"/>
                <w:sz w:val="22"/>
                <w:szCs w:val="22"/>
                <w:lang w:eastAsia="zh-CN"/>
              </w:rPr>
              <w:t>SNIR</w:t>
            </w:r>
            <w:r>
              <w:rPr>
                <w:rFonts w:ascii="Times New Roman" w:hAnsi="Times New Roman"/>
                <w:sz w:val="22"/>
                <w:szCs w:val="22"/>
                <w:vertAlign w:val="subscript"/>
              </w:rPr>
              <w:t>MIN</w:t>
            </w:r>
            <w:r>
              <w:rPr>
                <w:rFonts w:ascii="Times New Roman" w:hAnsi="Times New Roman"/>
                <w:sz w:val="22"/>
                <w:szCs w:val="22"/>
              </w:rPr>
              <w:t xml:space="preserve">, dB </w:t>
            </w:r>
          </w:p>
        </w:tc>
        <w:tc>
          <w:tcPr>
            <w:tcW w:w="0" w:type="auto"/>
            <w:vAlign w:val="bottom"/>
          </w:tcPr>
          <w:p>
            <w:pPr>
              <w:keepNext/>
              <w:keepLines/>
              <w:jc w:val="center"/>
              <w:rPr>
                <w:rFonts w:eastAsia="MS Mincho" w:cs="Arial"/>
                <w:sz w:val="22"/>
                <w:szCs w:val="22"/>
              </w:rPr>
            </w:pPr>
            <w:r>
              <w:rPr>
                <w:rFonts w:eastAsia="MS Mincho" w:cs="Arial"/>
                <w:sz w:val="22"/>
                <w:szCs w:val="22"/>
              </w:rPr>
              <w:t xml:space="preserve">-10 </w:t>
            </w:r>
          </w:p>
        </w:tc>
        <w:tc>
          <w:tcPr>
            <w:tcW w:w="0" w:type="auto"/>
            <w:vAlign w:val="bottom"/>
          </w:tcPr>
          <w:p>
            <w:pPr>
              <w:keepNext/>
              <w:keepLines/>
              <w:jc w:val="center"/>
              <w:rPr>
                <w:rFonts w:eastAsia="MS Mincho" w:cs="Arial"/>
                <w:sz w:val="22"/>
                <w:szCs w:val="22"/>
              </w:rPr>
            </w:pPr>
            <w:r>
              <w:rPr>
                <w:rFonts w:eastAsia="MS Mincho" w:cs="Arial"/>
                <w:sz w:val="22"/>
                <w:szCs w:val="22"/>
              </w:rPr>
              <w:t xml:space="preserve">-10 </w:t>
            </w:r>
          </w:p>
        </w:tc>
        <w:tc>
          <w:tcPr>
            <w:tcW w:w="0" w:type="auto"/>
            <w:noWrap/>
            <w:vAlign w:val="bottom"/>
          </w:tcPr>
          <w:p>
            <w:pPr>
              <w:keepNext/>
              <w:keepLines/>
              <w:jc w:val="center"/>
              <w:rPr>
                <w:rFonts w:eastAsia="MS Mincho" w:cs="Arial"/>
                <w:sz w:val="22"/>
                <w:szCs w:val="22"/>
              </w:rPr>
            </w:pPr>
            <w:r>
              <w:rPr>
                <w:rFonts w:eastAsia="MS Mincho" w:cs="Arial"/>
                <w:sz w:val="22"/>
                <w:szCs w:val="22"/>
              </w:rPr>
              <w:t xml:space="preserve">Based on QPSK, 1/8 rate (DL) &amp; 1/5 rate (UL)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noWrap/>
            <w:vAlign w:val="bottom"/>
          </w:tcPr>
          <w:p>
            <w:pPr>
              <w:pStyle w:val="35"/>
              <w:rPr>
                <w:rFonts w:ascii="Times New Roman" w:hAnsi="Times New Roman"/>
                <w:sz w:val="22"/>
                <w:szCs w:val="22"/>
              </w:rPr>
            </w:pPr>
            <w:r>
              <w:rPr>
                <w:rFonts w:ascii="Times New Roman" w:hAnsi="Times New Roman"/>
                <w:sz w:val="22"/>
                <w:szCs w:val="22"/>
                <w:lang w:eastAsia="zh-CN"/>
              </w:rPr>
              <w:t>SNIR</w:t>
            </w:r>
            <w:r>
              <w:rPr>
                <w:rFonts w:ascii="Times New Roman" w:hAnsi="Times New Roman"/>
                <w:sz w:val="22"/>
                <w:szCs w:val="22"/>
                <w:vertAlign w:val="subscript"/>
              </w:rPr>
              <w:t>MAX</w:t>
            </w:r>
            <w:r>
              <w:rPr>
                <w:rFonts w:ascii="Times New Roman" w:hAnsi="Times New Roman"/>
                <w:sz w:val="22"/>
                <w:szCs w:val="22"/>
              </w:rPr>
              <w:t xml:space="preserve">, dB </w:t>
            </w:r>
          </w:p>
        </w:tc>
        <w:tc>
          <w:tcPr>
            <w:tcW w:w="0" w:type="auto"/>
            <w:vAlign w:val="bottom"/>
          </w:tcPr>
          <w:p>
            <w:pPr>
              <w:keepNext/>
              <w:keepLines/>
              <w:jc w:val="center"/>
              <w:rPr>
                <w:rFonts w:eastAsia="MS Mincho" w:cs="Arial"/>
                <w:sz w:val="22"/>
                <w:szCs w:val="22"/>
              </w:rPr>
            </w:pPr>
            <w:r>
              <w:rPr>
                <w:rFonts w:eastAsia="MS Mincho" w:cs="Arial"/>
                <w:sz w:val="22"/>
                <w:szCs w:val="22"/>
              </w:rPr>
              <w:t xml:space="preserve">30 </w:t>
            </w:r>
          </w:p>
        </w:tc>
        <w:tc>
          <w:tcPr>
            <w:tcW w:w="0" w:type="auto"/>
            <w:vAlign w:val="bottom"/>
          </w:tcPr>
          <w:p>
            <w:pPr>
              <w:keepNext/>
              <w:keepLines/>
              <w:jc w:val="center"/>
              <w:rPr>
                <w:rFonts w:eastAsia="MS Mincho" w:cs="Arial"/>
                <w:sz w:val="22"/>
                <w:szCs w:val="22"/>
              </w:rPr>
            </w:pPr>
            <w:r>
              <w:rPr>
                <w:rFonts w:eastAsia="MS Mincho" w:cs="Arial"/>
                <w:sz w:val="22"/>
                <w:szCs w:val="22"/>
              </w:rPr>
              <w:t xml:space="preserve">22 </w:t>
            </w:r>
          </w:p>
        </w:tc>
        <w:tc>
          <w:tcPr>
            <w:tcW w:w="0" w:type="auto"/>
            <w:noWrap/>
            <w:vAlign w:val="bottom"/>
          </w:tcPr>
          <w:p>
            <w:pPr>
              <w:keepNext/>
              <w:keepLines/>
              <w:jc w:val="center"/>
              <w:rPr>
                <w:rFonts w:eastAsia="MS Mincho" w:cs="Arial"/>
                <w:sz w:val="22"/>
                <w:szCs w:val="22"/>
              </w:rPr>
            </w:pPr>
            <w:r>
              <w:rPr>
                <w:rFonts w:eastAsia="MS Mincho" w:cs="Arial"/>
                <w:sz w:val="22"/>
                <w:szCs w:val="22"/>
              </w:rPr>
              <w:t xml:space="preserve">Based on 256QAM 0.93(DL) &amp; 64QAM 0.93 (UL) </w:t>
            </w:r>
          </w:p>
        </w:tc>
      </w:tr>
    </w:tbl>
    <w:p>
      <w:pPr>
        <w:pStyle w:val="40"/>
        <w:bidi w:val="0"/>
        <w:ind w:left="0" w:leftChars="0" w:firstLine="0" w:firstLineChars="0"/>
        <w:rPr>
          <w:rFonts w:hint="default"/>
          <w:lang w:val="en-US" w:eastAsia="zh-CN"/>
        </w:rPr>
      </w:pP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default"/>
          <w:lang w:val="en-US" w:eastAsia="zh-CN"/>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further views on coexistence study for ATG coexistence and proposals are made as following:</w:t>
      </w:r>
    </w:p>
    <w:p>
      <w:pPr>
        <w:autoSpaceDE/>
        <w:autoSpaceDN/>
        <w:adjustRightInd/>
        <w:snapToGrid/>
        <w:spacing w:before="0" w:beforeLines="-2147483648" w:after="0" w:afterLines="-2147483648" w:line="240" w:lineRule="auto"/>
        <w:jc w:val="left"/>
        <w:rPr>
          <w:rFonts w:hint="eastAsia" w:cs="Times New Roman"/>
          <w:sz w:val="22"/>
          <w:szCs w:val="22"/>
          <w:lang w:val="en-US" w:eastAsia="zh-CN"/>
        </w:rPr>
      </w:pPr>
      <w:r>
        <w:rPr>
          <w:rFonts w:hint="eastAsia" w:cs="Times New Roman"/>
          <w:b/>
          <w:bCs/>
          <w:sz w:val="22"/>
          <w:szCs w:val="22"/>
          <w:lang w:val="en-US" w:eastAsia="zh-CN"/>
        </w:rPr>
        <w:t>Proposal 1</w:t>
      </w:r>
      <w:r>
        <w:rPr>
          <w:rFonts w:hint="eastAsia" w:cs="Times New Roman"/>
          <w:sz w:val="22"/>
          <w:szCs w:val="22"/>
          <w:lang w:val="en-US" w:eastAsia="zh-CN"/>
        </w:rPr>
        <w:t xml:space="preserve">: to consider the coexistence scenario in Table 2.1-1 by the removal of scenario 7 and scenario 8 and proposed frequency and bandwidth configuration in Table 2.1-2 for ATG coexistence study. </w:t>
      </w: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cs="Times New Roman"/>
          <w:b/>
          <w:bCs/>
          <w:sz w:val="22"/>
          <w:szCs w:val="22"/>
          <w:lang w:val="en-US" w:eastAsia="zh-CN"/>
        </w:rPr>
        <w:t>Proposal 2</w:t>
      </w:r>
      <w:r>
        <w:rPr>
          <w:rFonts w:hint="eastAsia" w:cs="Times New Roman"/>
          <w:sz w:val="22"/>
          <w:szCs w:val="22"/>
          <w:lang w:val="en-US" w:eastAsia="zh-CN"/>
        </w:rPr>
        <w:t>: to consider the option 1 for ATG network layout and option 1 to drop the TN cluster.</w:t>
      </w:r>
    </w:p>
    <w:p>
      <w:pPr>
        <w:autoSpaceDE/>
        <w:autoSpaceDN/>
        <w:adjustRightInd/>
        <w:snapToGrid/>
        <w:spacing w:before="0" w:beforeLines="-2147483648" w:after="0" w:afterLines="-2147483648" w:line="240" w:lineRule="auto"/>
        <w:jc w:val="left"/>
        <w:rPr>
          <w:rFonts w:hint="default" w:cs="Times New Roman"/>
          <w:sz w:val="22"/>
          <w:szCs w:val="22"/>
          <w:lang w:val="en-US" w:eastAsia="zh-CN"/>
        </w:rPr>
      </w:pPr>
      <w:r>
        <w:rPr>
          <w:rFonts w:hint="eastAsia" w:cs="Times New Roman"/>
          <w:b/>
          <w:bCs/>
          <w:sz w:val="22"/>
          <w:szCs w:val="22"/>
          <w:lang w:val="en-US" w:eastAsia="zh-CN"/>
        </w:rPr>
        <w:t>Proposal 3</w:t>
      </w:r>
      <w:r>
        <w:rPr>
          <w:rFonts w:hint="eastAsia" w:cs="Times New Roman"/>
          <w:sz w:val="22"/>
          <w:szCs w:val="22"/>
          <w:lang w:val="en-US" w:eastAsia="zh-CN"/>
        </w:rPr>
        <w:t>: to use the simulation assumptions in this contribution as baseline for further coexistence study.</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pStyle w:val="52"/>
        <w:numPr>
          <w:ilvl w:val="0"/>
          <w:numId w:val="5"/>
        </w:numPr>
        <w:rPr>
          <w:rFonts w:hint="eastAsia" w:ascii="Times New Roman" w:hAnsi="Times New Roman" w:eastAsia="宋体" w:cs="Times New Roman"/>
          <w:sz w:val="20"/>
          <w:szCs w:val="20"/>
          <w:highlight w:val="none"/>
          <w:lang w:val="en-US" w:eastAsia="zh-CN"/>
        </w:rPr>
      </w:pPr>
      <w:r>
        <w:rPr>
          <w:rFonts w:hint="eastAsia" w:eastAsia="宋体"/>
          <w:sz w:val="20"/>
          <w:szCs w:val="20"/>
          <w:highlight w:val="none"/>
        </w:rPr>
        <w:t>R4-2214459</w:t>
      </w:r>
      <w:r>
        <w:rPr>
          <w:rFonts w:hint="eastAsia"/>
          <w:sz w:val="20"/>
          <w:szCs w:val="20"/>
          <w:highlight w:val="none"/>
          <w:lang w:val="en-US" w:eastAsia="zh-CN"/>
        </w:rPr>
        <w:t>,</w:t>
      </w:r>
      <w:r>
        <w:rPr>
          <w:rFonts w:hint="eastAsia" w:eastAsia="宋体"/>
          <w:sz w:val="20"/>
          <w:szCs w:val="20"/>
          <w:highlight w:val="none"/>
        </w:rPr>
        <w:t>WF on co-existence evaluation for ATG</w:t>
      </w:r>
      <w:r>
        <w:rPr>
          <w:rFonts w:hint="eastAsia"/>
          <w:sz w:val="20"/>
          <w:szCs w:val="20"/>
          <w:highlight w:val="none"/>
          <w:lang w:val="en-US" w:eastAsia="zh-CN"/>
        </w:rPr>
        <w:t>, Huawei, Approved.</w:t>
      </w:r>
    </w:p>
    <w:p>
      <w:pPr>
        <w:pStyle w:val="52"/>
        <w:numPr>
          <w:ilvl w:val="0"/>
          <w:numId w:val="5"/>
        </w:numPr>
        <w:rPr>
          <w:rFonts w:hint="eastAsia" w:eastAsia="宋体"/>
          <w:sz w:val="20"/>
          <w:szCs w:val="20"/>
          <w:highlight w:val="none"/>
          <w:lang w:eastAsia="en-GB"/>
        </w:rPr>
      </w:pPr>
      <w:r>
        <w:rPr>
          <w:rFonts w:hint="eastAsia" w:eastAsia="宋体"/>
          <w:sz w:val="20"/>
          <w:szCs w:val="20"/>
          <w:highlight w:val="none"/>
          <w:lang w:eastAsia="en-GB"/>
        </w:rPr>
        <w:t>R4-2217736</w:t>
      </w:r>
      <w:r>
        <w:rPr>
          <w:rFonts w:hint="eastAsia"/>
          <w:sz w:val="20"/>
          <w:szCs w:val="20"/>
          <w:highlight w:val="none"/>
          <w:lang w:val="en-US" w:eastAsia="zh-CN"/>
        </w:rPr>
        <w:t xml:space="preserve">, </w:t>
      </w:r>
      <w:r>
        <w:rPr>
          <w:rFonts w:hint="eastAsia" w:eastAsia="宋体"/>
          <w:sz w:val="20"/>
          <w:szCs w:val="20"/>
          <w:highlight w:val="none"/>
          <w:lang w:eastAsia="en-GB"/>
        </w:rPr>
        <w:t>WF on FR1 co-existence evaluation for ATG</w:t>
      </w:r>
      <w:r>
        <w:rPr>
          <w:rFonts w:hint="eastAsia"/>
          <w:sz w:val="20"/>
          <w:szCs w:val="20"/>
          <w:highlight w:val="none"/>
          <w:lang w:val="en-US" w:eastAsia="zh-CN"/>
        </w:rPr>
        <w:t>, CMCC, Approved.</w:t>
      </w:r>
    </w:p>
    <w:p>
      <w:pPr>
        <w:pStyle w:val="52"/>
        <w:numPr>
          <w:ilvl w:val="0"/>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57C42D9"/>
    <w:multiLevelType w:val="multilevel"/>
    <w:tmpl w:val="257C42D9"/>
    <w:lvl w:ilvl="0" w:tentative="0">
      <w:start w:val="1"/>
      <w:numFmt w:val="bullet"/>
      <w:lvlText w:val=""/>
      <w:lvlJc w:val="left"/>
      <w:pPr>
        <w:tabs>
          <w:tab w:val="left" w:pos="1004"/>
        </w:tabs>
        <w:ind w:left="1004" w:hanging="360"/>
      </w:pPr>
      <w:rPr>
        <w:rFonts w:hint="default" w:ascii="Symbol" w:hAnsi="Symbol"/>
      </w:rPr>
    </w:lvl>
    <w:lvl w:ilvl="1" w:tentative="0">
      <w:start w:val="1"/>
      <w:numFmt w:val="bullet"/>
      <w:lvlText w:val="o"/>
      <w:lvlJc w:val="left"/>
      <w:pPr>
        <w:tabs>
          <w:tab w:val="left" w:pos="1724"/>
        </w:tabs>
        <w:ind w:left="1724" w:hanging="360"/>
      </w:pPr>
      <w:rPr>
        <w:rFonts w:hint="default" w:ascii="Courier New" w:hAnsi="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2">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0C8D"/>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7C0"/>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942F8"/>
    <w:rsid w:val="011B7946"/>
    <w:rsid w:val="012823DD"/>
    <w:rsid w:val="012A6A7A"/>
    <w:rsid w:val="013A4C94"/>
    <w:rsid w:val="01402D63"/>
    <w:rsid w:val="01442D89"/>
    <w:rsid w:val="01594895"/>
    <w:rsid w:val="015C06BF"/>
    <w:rsid w:val="015F18F2"/>
    <w:rsid w:val="015F5FA3"/>
    <w:rsid w:val="01662CC4"/>
    <w:rsid w:val="016800B9"/>
    <w:rsid w:val="017059E0"/>
    <w:rsid w:val="01791D2E"/>
    <w:rsid w:val="01821D8F"/>
    <w:rsid w:val="018C2266"/>
    <w:rsid w:val="018C3642"/>
    <w:rsid w:val="018D7DCE"/>
    <w:rsid w:val="0195201D"/>
    <w:rsid w:val="019C3DA8"/>
    <w:rsid w:val="01A402CD"/>
    <w:rsid w:val="01A5504D"/>
    <w:rsid w:val="01A742A2"/>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F4070"/>
    <w:rsid w:val="021042F2"/>
    <w:rsid w:val="021A2C38"/>
    <w:rsid w:val="021D2604"/>
    <w:rsid w:val="02293A2A"/>
    <w:rsid w:val="022D5BF3"/>
    <w:rsid w:val="022F6559"/>
    <w:rsid w:val="022F66E0"/>
    <w:rsid w:val="0238292F"/>
    <w:rsid w:val="023E7088"/>
    <w:rsid w:val="0240545F"/>
    <w:rsid w:val="024C13AB"/>
    <w:rsid w:val="0251470E"/>
    <w:rsid w:val="02532AA9"/>
    <w:rsid w:val="025732DD"/>
    <w:rsid w:val="0262197E"/>
    <w:rsid w:val="027035EC"/>
    <w:rsid w:val="028278C3"/>
    <w:rsid w:val="028748E0"/>
    <w:rsid w:val="02892A7A"/>
    <w:rsid w:val="02927A98"/>
    <w:rsid w:val="029342BD"/>
    <w:rsid w:val="029D3139"/>
    <w:rsid w:val="02AF6836"/>
    <w:rsid w:val="02B06DC0"/>
    <w:rsid w:val="02B31189"/>
    <w:rsid w:val="02B85839"/>
    <w:rsid w:val="02C86D51"/>
    <w:rsid w:val="02CE3DD2"/>
    <w:rsid w:val="02CF0BD4"/>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E41AA"/>
    <w:rsid w:val="034F5F48"/>
    <w:rsid w:val="0354325C"/>
    <w:rsid w:val="035C4C68"/>
    <w:rsid w:val="035D2EB4"/>
    <w:rsid w:val="03651217"/>
    <w:rsid w:val="03687ADD"/>
    <w:rsid w:val="03696DA6"/>
    <w:rsid w:val="036A231E"/>
    <w:rsid w:val="03774924"/>
    <w:rsid w:val="03822F79"/>
    <w:rsid w:val="0395764C"/>
    <w:rsid w:val="039B69FD"/>
    <w:rsid w:val="03A32E58"/>
    <w:rsid w:val="03C0647A"/>
    <w:rsid w:val="03C6618A"/>
    <w:rsid w:val="03CD06E1"/>
    <w:rsid w:val="03CD6E1F"/>
    <w:rsid w:val="03D4427A"/>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33114"/>
    <w:rsid w:val="0444143C"/>
    <w:rsid w:val="0444783F"/>
    <w:rsid w:val="044753DC"/>
    <w:rsid w:val="0452753E"/>
    <w:rsid w:val="045835A5"/>
    <w:rsid w:val="045A7BB7"/>
    <w:rsid w:val="045C0E21"/>
    <w:rsid w:val="045E1DEE"/>
    <w:rsid w:val="045F23BF"/>
    <w:rsid w:val="04605B56"/>
    <w:rsid w:val="04671100"/>
    <w:rsid w:val="046E568E"/>
    <w:rsid w:val="046F2C8C"/>
    <w:rsid w:val="04786ED3"/>
    <w:rsid w:val="04856247"/>
    <w:rsid w:val="04865E52"/>
    <w:rsid w:val="048829D4"/>
    <w:rsid w:val="049B40DC"/>
    <w:rsid w:val="04B1469E"/>
    <w:rsid w:val="04D158CF"/>
    <w:rsid w:val="04D66461"/>
    <w:rsid w:val="050B4FA8"/>
    <w:rsid w:val="050D6F1E"/>
    <w:rsid w:val="051034CD"/>
    <w:rsid w:val="05174028"/>
    <w:rsid w:val="051F43BC"/>
    <w:rsid w:val="052432F7"/>
    <w:rsid w:val="05280A89"/>
    <w:rsid w:val="05367F8C"/>
    <w:rsid w:val="053E1AC2"/>
    <w:rsid w:val="0545651B"/>
    <w:rsid w:val="05583DC1"/>
    <w:rsid w:val="05587197"/>
    <w:rsid w:val="055A77BF"/>
    <w:rsid w:val="05687505"/>
    <w:rsid w:val="05734531"/>
    <w:rsid w:val="05784E56"/>
    <w:rsid w:val="05804262"/>
    <w:rsid w:val="05816D10"/>
    <w:rsid w:val="058A537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E26D7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06C7"/>
    <w:rsid w:val="06B548E2"/>
    <w:rsid w:val="06BA7F49"/>
    <w:rsid w:val="06BB4F9D"/>
    <w:rsid w:val="06C72EBF"/>
    <w:rsid w:val="06C9247F"/>
    <w:rsid w:val="06CD3A64"/>
    <w:rsid w:val="06CF5C8A"/>
    <w:rsid w:val="06ED65D9"/>
    <w:rsid w:val="06F30672"/>
    <w:rsid w:val="06F35A7A"/>
    <w:rsid w:val="06F35AB6"/>
    <w:rsid w:val="06F66B05"/>
    <w:rsid w:val="0702074E"/>
    <w:rsid w:val="0708086F"/>
    <w:rsid w:val="07220D76"/>
    <w:rsid w:val="072717DA"/>
    <w:rsid w:val="07277193"/>
    <w:rsid w:val="072911D9"/>
    <w:rsid w:val="072B7E46"/>
    <w:rsid w:val="072F2139"/>
    <w:rsid w:val="073B285A"/>
    <w:rsid w:val="073C25AC"/>
    <w:rsid w:val="07436058"/>
    <w:rsid w:val="074E566F"/>
    <w:rsid w:val="074F3DF9"/>
    <w:rsid w:val="07537C92"/>
    <w:rsid w:val="07556D74"/>
    <w:rsid w:val="075670A4"/>
    <w:rsid w:val="075E667A"/>
    <w:rsid w:val="07660D5A"/>
    <w:rsid w:val="07665169"/>
    <w:rsid w:val="076F4BA4"/>
    <w:rsid w:val="07731BE6"/>
    <w:rsid w:val="07750A92"/>
    <w:rsid w:val="077F542D"/>
    <w:rsid w:val="077F5D16"/>
    <w:rsid w:val="07817B19"/>
    <w:rsid w:val="078B062A"/>
    <w:rsid w:val="07916BE4"/>
    <w:rsid w:val="079A693E"/>
    <w:rsid w:val="07A2728D"/>
    <w:rsid w:val="07AA3E51"/>
    <w:rsid w:val="07BE51B2"/>
    <w:rsid w:val="07D835FB"/>
    <w:rsid w:val="07DD018B"/>
    <w:rsid w:val="07E014BE"/>
    <w:rsid w:val="07E04AA8"/>
    <w:rsid w:val="07E85751"/>
    <w:rsid w:val="07ED5339"/>
    <w:rsid w:val="07F97CF9"/>
    <w:rsid w:val="07FF65C5"/>
    <w:rsid w:val="0800676F"/>
    <w:rsid w:val="080F4BCD"/>
    <w:rsid w:val="08171593"/>
    <w:rsid w:val="0825730E"/>
    <w:rsid w:val="0835476E"/>
    <w:rsid w:val="08367FC2"/>
    <w:rsid w:val="08391661"/>
    <w:rsid w:val="084E0029"/>
    <w:rsid w:val="08550FFB"/>
    <w:rsid w:val="085D6C7E"/>
    <w:rsid w:val="08611CAF"/>
    <w:rsid w:val="0865781A"/>
    <w:rsid w:val="0866133E"/>
    <w:rsid w:val="08692F64"/>
    <w:rsid w:val="087716A2"/>
    <w:rsid w:val="08780590"/>
    <w:rsid w:val="087E046C"/>
    <w:rsid w:val="08813C88"/>
    <w:rsid w:val="08942BDF"/>
    <w:rsid w:val="089852F1"/>
    <w:rsid w:val="08990610"/>
    <w:rsid w:val="089A778B"/>
    <w:rsid w:val="089B5449"/>
    <w:rsid w:val="089D6B7D"/>
    <w:rsid w:val="08A03B5E"/>
    <w:rsid w:val="08A275F2"/>
    <w:rsid w:val="08B21918"/>
    <w:rsid w:val="08B40442"/>
    <w:rsid w:val="08B94847"/>
    <w:rsid w:val="08C14001"/>
    <w:rsid w:val="08D836B6"/>
    <w:rsid w:val="08F5200D"/>
    <w:rsid w:val="08F911CC"/>
    <w:rsid w:val="09016732"/>
    <w:rsid w:val="09127CF4"/>
    <w:rsid w:val="092234B5"/>
    <w:rsid w:val="09226860"/>
    <w:rsid w:val="092C26C9"/>
    <w:rsid w:val="092C5A95"/>
    <w:rsid w:val="09334A3F"/>
    <w:rsid w:val="094109B5"/>
    <w:rsid w:val="09444B9B"/>
    <w:rsid w:val="094E3DF1"/>
    <w:rsid w:val="0953050B"/>
    <w:rsid w:val="09546457"/>
    <w:rsid w:val="0958129F"/>
    <w:rsid w:val="09582472"/>
    <w:rsid w:val="096308E4"/>
    <w:rsid w:val="096913F9"/>
    <w:rsid w:val="096B649C"/>
    <w:rsid w:val="096F18AA"/>
    <w:rsid w:val="096F1D52"/>
    <w:rsid w:val="09713F26"/>
    <w:rsid w:val="097715BA"/>
    <w:rsid w:val="09796C44"/>
    <w:rsid w:val="097E56C1"/>
    <w:rsid w:val="098344BC"/>
    <w:rsid w:val="09846B33"/>
    <w:rsid w:val="098A1B59"/>
    <w:rsid w:val="09902C37"/>
    <w:rsid w:val="099D22A1"/>
    <w:rsid w:val="09A545D9"/>
    <w:rsid w:val="09A64698"/>
    <w:rsid w:val="09AC5074"/>
    <w:rsid w:val="09AD07F3"/>
    <w:rsid w:val="09B14A34"/>
    <w:rsid w:val="09BA5647"/>
    <w:rsid w:val="09C346F5"/>
    <w:rsid w:val="09CD6A58"/>
    <w:rsid w:val="09CD6EF5"/>
    <w:rsid w:val="09DA1C3B"/>
    <w:rsid w:val="09E14486"/>
    <w:rsid w:val="09E4648F"/>
    <w:rsid w:val="09ED4DC6"/>
    <w:rsid w:val="09F1407D"/>
    <w:rsid w:val="09F21427"/>
    <w:rsid w:val="0A037432"/>
    <w:rsid w:val="0A093274"/>
    <w:rsid w:val="0A145E2C"/>
    <w:rsid w:val="0A223227"/>
    <w:rsid w:val="0A22459E"/>
    <w:rsid w:val="0A2705E1"/>
    <w:rsid w:val="0A2A6A0B"/>
    <w:rsid w:val="0A312533"/>
    <w:rsid w:val="0A335E1D"/>
    <w:rsid w:val="0A3A0D5D"/>
    <w:rsid w:val="0A3E4E5D"/>
    <w:rsid w:val="0A5056C6"/>
    <w:rsid w:val="0A5060D6"/>
    <w:rsid w:val="0A5F4C2E"/>
    <w:rsid w:val="0A6164A7"/>
    <w:rsid w:val="0A662CD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D4245"/>
    <w:rsid w:val="0AD57FD6"/>
    <w:rsid w:val="0AD84FAB"/>
    <w:rsid w:val="0ADA5603"/>
    <w:rsid w:val="0ADD7B55"/>
    <w:rsid w:val="0B0569D0"/>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82EA9"/>
    <w:rsid w:val="0B884E90"/>
    <w:rsid w:val="0B892782"/>
    <w:rsid w:val="0B936E39"/>
    <w:rsid w:val="0B9C0905"/>
    <w:rsid w:val="0B9E13B0"/>
    <w:rsid w:val="0BB02C8B"/>
    <w:rsid w:val="0BB2460A"/>
    <w:rsid w:val="0BB41CFB"/>
    <w:rsid w:val="0BB53F3C"/>
    <w:rsid w:val="0BB96A2D"/>
    <w:rsid w:val="0BC739F0"/>
    <w:rsid w:val="0BD21910"/>
    <w:rsid w:val="0BDA3782"/>
    <w:rsid w:val="0BDB5584"/>
    <w:rsid w:val="0BE03DAA"/>
    <w:rsid w:val="0BE17727"/>
    <w:rsid w:val="0BEC55E4"/>
    <w:rsid w:val="0BF427F9"/>
    <w:rsid w:val="0C0B2ABC"/>
    <w:rsid w:val="0C0C632D"/>
    <w:rsid w:val="0C120111"/>
    <w:rsid w:val="0C12447E"/>
    <w:rsid w:val="0C1D0A79"/>
    <w:rsid w:val="0C2C1AFF"/>
    <w:rsid w:val="0C37145B"/>
    <w:rsid w:val="0C3946F8"/>
    <w:rsid w:val="0C3C0AB0"/>
    <w:rsid w:val="0C52301A"/>
    <w:rsid w:val="0C573449"/>
    <w:rsid w:val="0C576E02"/>
    <w:rsid w:val="0C6038EF"/>
    <w:rsid w:val="0C654C73"/>
    <w:rsid w:val="0C663BE3"/>
    <w:rsid w:val="0C663CA8"/>
    <w:rsid w:val="0C684520"/>
    <w:rsid w:val="0C744A34"/>
    <w:rsid w:val="0C751214"/>
    <w:rsid w:val="0C767881"/>
    <w:rsid w:val="0C780533"/>
    <w:rsid w:val="0C780F1E"/>
    <w:rsid w:val="0C85742B"/>
    <w:rsid w:val="0C866066"/>
    <w:rsid w:val="0C8726EC"/>
    <w:rsid w:val="0C873353"/>
    <w:rsid w:val="0C885C99"/>
    <w:rsid w:val="0C8B4B61"/>
    <w:rsid w:val="0C9A4387"/>
    <w:rsid w:val="0C9D3F03"/>
    <w:rsid w:val="0C9D474E"/>
    <w:rsid w:val="0CA1546A"/>
    <w:rsid w:val="0CA4660D"/>
    <w:rsid w:val="0CA46672"/>
    <w:rsid w:val="0CA92BAC"/>
    <w:rsid w:val="0CB06DD3"/>
    <w:rsid w:val="0CB471A1"/>
    <w:rsid w:val="0CB90F2E"/>
    <w:rsid w:val="0CBB5A0F"/>
    <w:rsid w:val="0CBB7EBC"/>
    <w:rsid w:val="0CCD3B1C"/>
    <w:rsid w:val="0CE245F1"/>
    <w:rsid w:val="0CE4001E"/>
    <w:rsid w:val="0D0213CD"/>
    <w:rsid w:val="0D04575D"/>
    <w:rsid w:val="0D0612B8"/>
    <w:rsid w:val="0D066A9C"/>
    <w:rsid w:val="0D0714BC"/>
    <w:rsid w:val="0D136EF9"/>
    <w:rsid w:val="0D1A52C8"/>
    <w:rsid w:val="0D1C1D16"/>
    <w:rsid w:val="0D202C1F"/>
    <w:rsid w:val="0D21615D"/>
    <w:rsid w:val="0D2454BF"/>
    <w:rsid w:val="0D2767B5"/>
    <w:rsid w:val="0D3E327E"/>
    <w:rsid w:val="0D432A3E"/>
    <w:rsid w:val="0D480AA9"/>
    <w:rsid w:val="0D5800C7"/>
    <w:rsid w:val="0D5B6E86"/>
    <w:rsid w:val="0D604B9B"/>
    <w:rsid w:val="0D6A353C"/>
    <w:rsid w:val="0D826C81"/>
    <w:rsid w:val="0D904522"/>
    <w:rsid w:val="0D976014"/>
    <w:rsid w:val="0DA060E8"/>
    <w:rsid w:val="0DA57AAE"/>
    <w:rsid w:val="0DB76EF8"/>
    <w:rsid w:val="0DCE36F3"/>
    <w:rsid w:val="0DD208DC"/>
    <w:rsid w:val="0DD621E4"/>
    <w:rsid w:val="0DDD2372"/>
    <w:rsid w:val="0DDE1317"/>
    <w:rsid w:val="0DE55D4A"/>
    <w:rsid w:val="0DEE77C3"/>
    <w:rsid w:val="0DF0225F"/>
    <w:rsid w:val="0DF367C2"/>
    <w:rsid w:val="0DFC48AF"/>
    <w:rsid w:val="0DFF2594"/>
    <w:rsid w:val="0E0313B1"/>
    <w:rsid w:val="0E062A96"/>
    <w:rsid w:val="0E0D1A47"/>
    <w:rsid w:val="0E176FCD"/>
    <w:rsid w:val="0E1C0C6C"/>
    <w:rsid w:val="0E281319"/>
    <w:rsid w:val="0E3217E8"/>
    <w:rsid w:val="0E387AA5"/>
    <w:rsid w:val="0E3F0E9A"/>
    <w:rsid w:val="0E400D03"/>
    <w:rsid w:val="0E485C9B"/>
    <w:rsid w:val="0E5E2B07"/>
    <w:rsid w:val="0E771E51"/>
    <w:rsid w:val="0E796EA0"/>
    <w:rsid w:val="0E7A2A61"/>
    <w:rsid w:val="0E7C0762"/>
    <w:rsid w:val="0E8118C0"/>
    <w:rsid w:val="0E972455"/>
    <w:rsid w:val="0E9A17E3"/>
    <w:rsid w:val="0EA11114"/>
    <w:rsid w:val="0EA35AC0"/>
    <w:rsid w:val="0EA81843"/>
    <w:rsid w:val="0EB34961"/>
    <w:rsid w:val="0EB35C8A"/>
    <w:rsid w:val="0EB9447E"/>
    <w:rsid w:val="0EC11B24"/>
    <w:rsid w:val="0EC468A2"/>
    <w:rsid w:val="0ECA0784"/>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270DE"/>
    <w:rsid w:val="0FB31343"/>
    <w:rsid w:val="0FC12836"/>
    <w:rsid w:val="0FD95333"/>
    <w:rsid w:val="0FEC322B"/>
    <w:rsid w:val="0FEC6EF6"/>
    <w:rsid w:val="10045EE6"/>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9E7044"/>
    <w:rsid w:val="10B7486E"/>
    <w:rsid w:val="10CC5735"/>
    <w:rsid w:val="10D679E0"/>
    <w:rsid w:val="10E73223"/>
    <w:rsid w:val="10FA45D2"/>
    <w:rsid w:val="11024527"/>
    <w:rsid w:val="1105524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27763"/>
    <w:rsid w:val="11847341"/>
    <w:rsid w:val="11996649"/>
    <w:rsid w:val="11AA61BD"/>
    <w:rsid w:val="11AC7561"/>
    <w:rsid w:val="11AE6531"/>
    <w:rsid w:val="11AF439E"/>
    <w:rsid w:val="11B50817"/>
    <w:rsid w:val="11B66269"/>
    <w:rsid w:val="11BA0839"/>
    <w:rsid w:val="11CA3974"/>
    <w:rsid w:val="11E4369D"/>
    <w:rsid w:val="11EC77D0"/>
    <w:rsid w:val="11EE4F27"/>
    <w:rsid w:val="11F267E8"/>
    <w:rsid w:val="11F427FC"/>
    <w:rsid w:val="12066C25"/>
    <w:rsid w:val="120E4772"/>
    <w:rsid w:val="1210456D"/>
    <w:rsid w:val="12134828"/>
    <w:rsid w:val="12143598"/>
    <w:rsid w:val="121729B6"/>
    <w:rsid w:val="12220941"/>
    <w:rsid w:val="122A6318"/>
    <w:rsid w:val="122C6138"/>
    <w:rsid w:val="123616D6"/>
    <w:rsid w:val="12396B0A"/>
    <w:rsid w:val="123A52C3"/>
    <w:rsid w:val="123E0CDC"/>
    <w:rsid w:val="125139EE"/>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1E5CE7"/>
    <w:rsid w:val="13217B01"/>
    <w:rsid w:val="132625C2"/>
    <w:rsid w:val="132A7435"/>
    <w:rsid w:val="13322AD3"/>
    <w:rsid w:val="133B5756"/>
    <w:rsid w:val="133E50CE"/>
    <w:rsid w:val="134904A6"/>
    <w:rsid w:val="134966AC"/>
    <w:rsid w:val="135845C3"/>
    <w:rsid w:val="135F5E4E"/>
    <w:rsid w:val="137F1B10"/>
    <w:rsid w:val="1382164E"/>
    <w:rsid w:val="13913843"/>
    <w:rsid w:val="13920C1D"/>
    <w:rsid w:val="139354E0"/>
    <w:rsid w:val="13962CE5"/>
    <w:rsid w:val="13A62921"/>
    <w:rsid w:val="13AB3B97"/>
    <w:rsid w:val="13B35E26"/>
    <w:rsid w:val="13B42C01"/>
    <w:rsid w:val="13B445AD"/>
    <w:rsid w:val="13B66BD2"/>
    <w:rsid w:val="13BF66BA"/>
    <w:rsid w:val="13CA31CB"/>
    <w:rsid w:val="13CD1105"/>
    <w:rsid w:val="13D27C86"/>
    <w:rsid w:val="13D546F6"/>
    <w:rsid w:val="13D765AD"/>
    <w:rsid w:val="13DC36E2"/>
    <w:rsid w:val="13EC734F"/>
    <w:rsid w:val="13F22B81"/>
    <w:rsid w:val="13FD4FCC"/>
    <w:rsid w:val="13FE285E"/>
    <w:rsid w:val="1410395F"/>
    <w:rsid w:val="141624C3"/>
    <w:rsid w:val="14220CA7"/>
    <w:rsid w:val="142E6CAD"/>
    <w:rsid w:val="143802F8"/>
    <w:rsid w:val="144442DA"/>
    <w:rsid w:val="144C6544"/>
    <w:rsid w:val="14586750"/>
    <w:rsid w:val="14812D74"/>
    <w:rsid w:val="14836C15"/>
    <w:rsid w:val="14862300"/>
    <w:rsid w:val="148C00A0"/>
    <w:rsid w:val="148D3653"/>
    <w:rsid w:val="149E0A7B"/>
    <w:rsid w:val="14A82A63"/>
    <w:rsid w:val="14A86EA4"/>
    <w:rsid w:val="14AC358C"/>
    <w:rsid w:val="14B37FA7"/>
    <w:rsid w:val="14B76730"/>
    <w:rsid w:val="14C767C8"/>
    <w:rsid w:val="14DE753E"/>
    <w:rsid w:val="14F51028"/>
    <w:rsid w:val="14F549EC"/>
    <w:rsid w:val="14F92549"/>
    <w:rsid w:val="14FB4950"/>
    <w:rsid w:val="14FD4800"/>
    <w:rsid w:val="14FE45D8"/>
    <w:rsid w:val="14FF7362"/>
    <w:rsid w:val="150650CB"/>
    <w:rsid w:val="150E6B8B"/>
    <w:rsid w:val="15157DF4"/>
    <w:rsid w:val="151B0462"/>
    <w:rsid w:val="151C45D8"/>
    <w:rsid w:val="15290336"/>
    <w:rsid w:val="15297BD7"/>
    <w:rsid w:val="15303F74"/>
    <w:rsid w:val="155424D6"/>
    <w:rsid w:val="155605E9"/>
    <w:rsid w:val="155B1745"/>
    <w:rsid w:val="155F651D"/>
    <w:rsid w:val="15655F19"/>
    <w:rsid w:val="157348EB"/>
    <w:rsid w:val="157500D8"/>
    <w:rsid w:val="15787FE5"/>
    <w:rsid w:val="157E21FE"/>
    <w:rsid w:val="157E5AA6"/>
    <w:rsid w:val="1587411C"/>
    <w:rsid w:val="159C57E1"/>
    <w:rsid w:val="15A80FDC"/>
    <w:rsid w:val="15AA7A19"/>
    <w:rsid w:val="15AC5259"/>
    <w:rsid w:val="15AE02B1"/>
    <w:rsid w:val="15AE46FA"/>
    <w:rsid w:val="15AE5475"/>
    <w:rsid w:val="15B06B12"/>
    <w:rsid w:val="15B75136"/>
    <w:rsid w:val="15BE3D9D"/>
    <w:rsid w:val="15C61DCD"/>
    <w:rsid w:val="15D4474D"/>
    <w:rsid w:val="15D7597F"/>
    <w:rsid w:val="160C437B"/>
    <w:rsid w:val="161033BE"/>
    <w:rsid w:val="16160429"/>
    <w:rsid w:val="161C3234"/>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C6856"/>
    <w:rsid w:val="16E7220A"/>
    <w:rsid w:val="16F7773E"/>
    <w:rsid w:val="16FD7F89"/>
    <w:rsid w:val="170133DA"/>
    <w:rsid w:val="170259E1"/>
    <w:rsid w:val="17026088"/>
    <w:rsid w:val="170353FD"/>
    <w:rsid w:val="17056BCC"/>
    <w:rsid w:val="171053FC"/>
    <w:rsid w:val="1715378E"/>
    <w:rsid w:val="17177592"/>
    <w:rsid w:val="17256955"/>
    <w:rsid w:val="172B6CEB"/>
    <w:rsid w:val="17343071"/>
    <w:rsid w:val="17350245"/>
    <w:rsid w:val="17382580"/>
    <w:rsid w:val="174D3983"/>
    <w:rsid w:val="17595246"/>
    <w:rsid w:val="175E4288"/>
    <w:rsid w:val="175F6489"/>
    <w:rsid w:val="17652ACF"/>
    <w:rsid w:val="176C704A"/>
    <w:rsid w:val="17701653"/>
    <w:rsid w:val="177653C5"/>
    <w:rsid w:val="17844C56"/>
    <w:rsid w:val="179559A6"/>
    <w:rsid w:val="17957384"/>
    <w:rsid w:val="17A30F12"/>
    <w:rsid w:val="17BA48D6"/>
    <w:rsid w:val="17C0378A"/>
    <w:rsid w:val="17C535A1"/>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50A52"/>
    <w:rsid w:val="18533B98"/>
    <w:rsid w:val="18570CA0"/>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DE1E44"/>
    <w:rsid w:val="18E22FAB"/>
    <w:rsid w:val="18E67034"/>
    <w:rsid w:val="18E872D7"/>
    <w:rsid w:val="18EA68A3"/>
    <w:rsid w:val="18F06558"/>
    <w:rsid w:val="18F3471F"/>
    <w:rsid w:val="18F931E6"/>
    <w:rsid w:val="18FA042B"/>
    <w:rsid w:val="18FE4771"/>
    <w:rsid w:val="19046384"/>
    <w:rsid w:val="19065891"/>
    <w:rsid w:val="191111C7"/>
    <w:rsid w:val="19191340"/>
    <w:rsid w:val="191A7BCC"/>
    <w:rsid w:val="19200B97"/>
    <w:rsid w:val="19254AA6"/>
    <w:rsid w:val="19267DCF"/>
    <w:rsid w:val="19287BE3"/>
    <w:rsid w:val="192A5704"/>
    <w:rsid w:val="192C599A"/>
    <w:rsid w:val="193774B0"/>
    <w:rsid w:val="19464CCE"/>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45B87"/>
    <w:rsid w:val="1A210157"/>
    <w:rsid w:val="1A325891"/>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974AF"/>
    <w:rsid w:val="1ADA6731"/>
    <w:rsid w:val="1ADC2627"/>
    <w:rsid w:val="1AF06C95"/>
    <w:rsid w:val="1AF34AE5"/>
    <w:rsid w:val="1AF3712C"/>
    <w:rsid w:val="1AF84C8C"/>
    <w:rsid w:val="1AFA1534"/>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9A07CB"/>
    <w:rsid w:val="1BA258AE"/>
    <w:rsid w:val="1BA57F07"/>
    <w:rsid w:val="1BAA3905"/>
    <w:rsid w:val="1BAB7953"/>
    <w:rsid w:val="1BB01F6E"/>
    <w:rsid w:val="1BB81DD8"/>
    <w:rsid w:val="1BB848C7"/>
    <w:rsid w:val="1BB86F3A"/>
    <w:rsid w:val="1BCA7505"/>
    <w:rsid w:val="1BD91032"/>
    <w:rsid w:val="1BEF7D4B"/>
    <w:rsid w:val="1BF768CD"/>
    <w:rsid w:val="1BF92025"/>
    <w:rsid w:val="1BF9326D"/>
    <w:rsid w:val="1C036FDA"/>
    <w:rsid w:val="1C05212A"/>
    <w:rsid w:val="1C0730F3"/>
    <w:rsid w:val="1C08111C"/>
    <w:rsid w:val="1C0B33CB"/>
    <w:rsid w:val="1C0D0258"/>
    <w:rsid w:val="1C0D60C9"/>
    <w:rsid w:val="1C191CF6"/>
    <w:rsid w:val="1C206F70"/>
    <w:rsid w:val="1C33796F"/>
    <w:rsid w:val="1C341EE3"/>
    <w:rsid w:val="1C441419"/>
    <w:rsid w:val="1C4774DD"/>
    <w:rsid w:val="1C4A45C4"/>
    <w:rsid w:val="1C4B3310"/>
    <w:rsid w:val="1C561E66"/>
    <w:rsid w:val="1C5661AB"/>
    <w:rsid w:val="1C5E3742"/>
    <w:rsid w:val="1C5F23B1"/>
    <w:rsid w:val="1C660240"/>
    <w:rsid w:val="1C663D30"/>
    <w:rsid w:val="1C6825F5"/>
    <w:rsid w:val="1C6D4144"/>
    <w:rsid w:val="1C726EC3"/>
    <w:rsid w:val="1C793EB9"/>
    <w:rsid w:val="1C807142"/>
    <w:rsid w:val="1C90266F"/>
    <w:rsid w:val="1C9A166E"/>
    <w:rsid w:val="1CA16CCE"/>
    <w:rsid w:val="1CAA7318"/>
    <w:rsid w:val="1CAD2752"/>
    <w:rsid w:val="1CB702E9"/>
    <w:rsid w:val="1CBA5B32"/>
    <w:rsid w:val="1CBC3A4C"/>
    <w:rsid w:val="1CBE0F85"/>
    <w:rsid w:val="1CBE5026"/>
    <w:rsid w:val="1CC77B0D"/>
    <w:rsid w:val="1CCD6D74"/>
    <w:rsid w:val="1CD97139"/>
    <w:rsid w:val="1CE13063"/>
    <w:rsid w:val="1CE2616E"/>
    <w:rsid w:val="1CF333A5"/>
    <w:rsid w:val="1D023336"/>
    <w:rsid w:val="1D031DDA"/>
    <w:rsid w:val="1D0B731D"/>
    <w:rsid w:val="1D1D6A68"/>
    <w:rsid w:val="1D1F1D0C"/>
    <w:rsid w:val="1D2054C4"/>
    <w:rsid w:val="1D24658B"/>
    <w:rsid w:val="1D2E77E8"/>
    <w:rsid w:val="1D31028A"/>
    <w:rsid w:val="1D4969F4"/>
    <w:rsid w:val="1D4C117F"/>
    <w:rsid w:val="1D513E68"/>
    <w:rsid w:val="1D563E2F"/>
    <w:rsid w:val="1D5A17CD"/>
    <w:rsid w:val="1D5C1BF6"/>
    <w:rsid w:val="1D6033FE"/>
    <w:rsid w:val="1D684015"/>
    <w:rsid w:val="1D6F79AF"/>
    <w:rsid w:val="1D7C6E19"/>
    <w:rsid w:val="1D7E2FA4"/>
    <w:rsid w:val="1D8F5B72"/>
    <w:rsid w:val="1D8F6826"/>
    <w:rsid w:val="1D9C5DA0"/>
    <w:rsid w:val="1D9C7126"/>
    <w:rsid w:val="1D9F462B"/>
    <w:rsid w:val="1DA265B5"/>
    <w:rsid w:val="1DB26ED0"/>
    <w:rsid w:val="1DB835A9"/>
    <w:rsid w:val="1DC07A05"/>
    <w:rsid w:val="1DC603E1"/>
    <w:rsid w:val="1DEC45ED"/>
    <w:rsid w:val="1DF26AFF"/>
    <w:rsid w:val="1DF2745E"/>
    <w:rsid w:val="1E093D7D"/>
    <w:rsid w:val="1E1D7E95"/>
    <w:rsid w:val="1E201A27"/>
    <w:rsid w:val="1E224747"/>
    <w:rsid w:val="1E304B88"/>
    <w:rsid w:val="1E3E02E7"/>
    <w:rsid w:val="1E3F2459"/>
    <w:rsid w:val="1E6246BE"/>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CA245F"/>
    <w:rsid w:val="1ED15DFD"/>
    <w:rsid w:val="1ED874EC"/>
    <w:rsid w:val="1ED94E25"/>
    <w:rsid w:val="1EDA7F91"/>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475"/>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2D7C82"/>
    <w:rsid w:val="2036470B"/>
    <w:rsid w:val="203B1416"/>
    <w:rsid w:val="203C2005"/>
    <w:rsid w:val="204069AE"/>
    <w:rsid w:val="20420995"/>
    <w:rsid w:val="20447B3E"/>
    <w:rsid w:val="204D7AED"/>
    <w:rsid w:val="204F595B"/>
    <w:rsid w:val="206301A7"/>
    <w:rsid w:val="20642E89"/>
    <w:rsid w:val="2067334B"/>
    <w:rsid w:val="206F7CD5"/>
    <w:rsid w:val="20702E42"/>
    <w:rsid w:val="207778B9"/>
    <w:rsid w:val="207E34E5"/>
    <w:rsid w:val="20850EC1"/>
    <w:rsid w:val="20911227"/>
    <w:rsid w:val="20934FE0"/>
    <w:rsid w:val="209A17A4"/>
    <w:rsid w:val="209E715A"/>
    <w:rsid w:val="20A04F89"/>
    <w:rsid w:val="20A70ABE"/>
    <w:rsid w:val="20B836F9"/>
    <w:rsid w:val="20BD741D"/>
    <w:rsid w:val="20BF422E"/>
    <w:rsid w:val="20C01849"/>
    <w:rsid w:val="20C10077"/>
    <w:rsid w:val="20C261C8"/>
    <w:rsid w:val="20C96FD1"/>
    <w:rsid w:val="20CC2666"/>
    <w:rsid w:val="20CC4FD3"/>
    <w:rsid w:val="20CC7651"/>
    <w:rsid w:val="20D562D7"/>
    <w:rsid w:val="20D957D0"/>
    <w:rsid w:val="20DA5281"/>
    <w:rsid w:val="20DB6325"/>
    <w:rsid w:val="20E35BDE"/>
    <w:rsid w:val="20E416D2"/>
    <w:rsid w:val="20E53EA7"/>
    <w:rsid w:val="20E9348D"/>
    <w:rsid w:val="20EB3474"/>
    <w:rsid w:val="20EF451E"/>
    <w:rsid w:val="20F667B9"/>
    <w:rsid w:val="20F90A4D"/>
    <w:rsid w:val="20FB7568"/>
    <w:rsid w:val="21065641"/>
    <w:rsid w:val="210D2CDA"/>
    <w:rsid w:val="211C7EF8"/>
    <w:rsid w:val="212F6A59"/>
    <w:rsid w:val="21306305"/>
    <w:rsid w:val="21320454"/>
    <w:rsid w:val="21330562"/>
    <w:rsid w:val="213D54AD"/>
    <w:rsid w:val="214169BB"/>
    <w:rsid w:val="2144141D"/>
    <w:rsid w:val="214F4863"/>
    <w:rsid w:val="21504A40"/>
    <w:rsid w:val="215132F6"/>
    <w:rsid w:val="215F7E39"/>
    <w:rsid w:val="2163647D"/>
    <w:rsid w:val="216C54DE"/>
    <w:rsid w:val="216E4800"/>
    <w:rsid w:val="217C7971"/>
    <w:rsid w:val="217D44BC"/>
    <w:rsid w:val="21936BCB"/>
    <w:rsid w:val="219619F8"/>
    <w:rsid w:val="219842E4"/>
    <w:rsid w:val="21997056"/>
    <w:rsid w:val="219B2AEE"/>
    <w:rsid w:val="219D3F2A"/>
    <w:rsid w:val="219D625D"/>
    <w:rsid w:val="21A8667F"/>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63F09"/>
    <w:rsid w:val="224E39DE"/>
    <w:rsid w:val="224E74D0"/>
    <w:rsid w:val="225C1E49"/>
    <w:rsid w:val="22713317"/>
    <w:rsid w:val="227F5037"/>
    <w:rsid w:val="228041D7"/>
    <w:rsid w:val="228A008B"/>
    <w:rsid w:val="228D63FC"/>
    <w:rsid w:val="229A7E25"/>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647A"/>
    <w:rsid w:val="23042520"/>
    <w:rsid w:val="230A2A35"/>
    <w:rsid w:val="230B07F6"/>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758A8"/>
    <w:rsid w:val="236A053E"/>
    <w:rsid w:val="236D4F13"/>
    <w:rsid w:val="23752F81"/>
    <w:rsid w:val="237B7D6C"/>
    <w:rsid w:val="23837B67"/>
    <w:rsid w:val="23857493"/>
    <w:rsid w:val="238755B6"/>
    <w:rsid w:val="23885214"/>
    <w:rsid w:val="238B65DE"/>
    <w:rsid w:val="239130F2"/>
    <w:rsid w:val="239A010A"/>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65CB9"/>
    <w:rsid w:val="24176341"/>
    <w:rsid w:val="241925AD"/>
    <w:rsid w:val="24194B93"/>
    <w:rsid w:val="24211333"/>
    <w:rsid w:val="242461D7"/>
    <w:rsid w:val="24255B0A"/>
    <w:rsid w:val="242778EB"/>
    <w:rsid w:val="242A43E1"/>
    <w:rsid w:val="242C04D9"/>
    <w:rsid w:val="242E2FF6"/>
    <w:rsid w:val="242E7ECB"/>
    <w:rsid w:val="243E6A2B"/>
    <w:rsid w:val="24401E98"/>
    <w:rsid w:val="244F2484"/>
    <w:rsid w:val="24506BD9"/>
    <w:rsid w:val="2456340C"/>
    <w:rsid w:val="24574CEB"/>
    <w:rsid w:val="245D41D2"/>
    <w:rsid w:val="246234DA"/>
    <w:rsid w:val="24656690"/>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535F4"/>
    <w:rsid w:val="24B93780"/>
    <w:rsid w:val="24BD38BA"/>
    <w:rsid w:val="24C0685F"/>
    <w:rsid w:val="24CD6DBE"/>
    <w:rsid w:val="24D20A06"/>
    <w:rsid w:val="24D51CDF"/>
    <w:rsid w:val="24E036A6"/>
    <w:rsid w:val="24E57853"/>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A4670"/>
    <w:rsid w:val="255E0BEA"/>
    <w:rsid w:val="256343AC"/>
    <w:rsid w:val="25771B32"/>
    <w:rsid w:val="257C1A72"/>
    <w:rsid w:val="257F18B5"/>
    <w:rsid w:val="25805FF5"/>
    <w:rsid w:val="258A3283"/>
    <w:rsid w:val="258E66DC"/>
    <w:rsid w:val="258F15BB"/>
    <w:rsid w:val="259231BD"/>
    <w:rsid w:val="25A77DD4"/>
    <w:rsid w:val="25AB5048"/>
    <w:rsid w:val="25AE0C1E"/>
    <w:rsid w:val="25BB6C64"/>
    <w:rsid w:val="25C87522"/>
    <w:rsid w:val="25C97301"/>
    <w:rsid w:val="25CC4C1C"/>
    <w:rsid w:val="25CD7961"/>
    <w:rsid w:val="25D64403"/>
    <w:rsid w:val="25EB7CD4"/>
    <w:rsid w:val="25F04B7D"/>
    <w:rsid w:val="25F51596"/>
    <w:rsid w:val="25F67042"/>
    <w:rsid w:val="26015F29"/>
    <w:rsid w:val="260A55DA"/>
    <w:rsid w:val="260B255C"/>
    <w:rsid w:val="2611495B"/>
    <w:rsid w:val="2618762A"/>
    <w:rsid w:val="26217848"/>
    <w:rsid w:val="262E20E8"/>
    <w:rsid w:val="262E34C1"/>
    <w:rsid w:val="262F5277"/>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081696"/>
    <w:rsid w:val="27125B0D"/>
    <w:rsid w:val="27130E1A"/>
    <w:rsid w:val="27222699"/>
    <w:rsid w:val="272A3F42"/>
    <w:rsid w:val="273216D6"/>
    <w:rsid w:val="273D1CBA"/>
    <w:rsid w:val="27462901"/>
    <w:rsid w:val="2749419F"/>
    <w:rsid w:val="274A7B1A"/>
    <w:rsid w:val="274C7EA9"/>
    <w:rsid w:val="275439E1"/>
    <w:rsid w:val="275658F1"/>
    <w:rsid w:val="275A3FBF"/>
    <w:rsid w:val="276320D7"/>
    <w:rsid w:val="278A6416"/>
    <w:rsid w:val="279408D2"/>
    <w:rsid w:val="279A2ED3"/>
    <w:rsid w:val="27A23025"/>
    <w:rsid w:val="27A46397"/>
    <w:rsid w:val="27B02558"/>
    <w:rsid w:val="27B03EC1"/>
    <w:rsid w:val="27B91021"/>
    <w:rsid w:val="27C06D17"/>
    <w:rsid w:val="27C66099"/>
    <w:rsid w:val="27CA7CDA"/>
    <w:rsid w:val="27E53797"/>
    <w:rsid w:val="27FE2C77"/>
    <w:rsid w:val="27FE4240"/>
    <w:rsid w:val="280008FF"/>
    <w:rsid w:val="28050D91"/>
    <w:rsid w:val="281035C6"/>
    <w:rsid w:val="28140E2A"/>
    <w:rsid w:val="28255041"/>
    <w:rsid w:val="283832F0"/>
    <w:rsid w:val="283A1E3E"/>
    <w:rsid w:val="284543A1"/>
    <w:rsid w:val="28553E1D"/>
    <w:rsid w:val="28693318"/>
    <w:rsid w:val="286B3B61"/>
    <w:rsid w:val="28765DD5"/>
    <w:rsid w:val="287E58AF"/>
    <w:rsid w:val="28821314"/>
    <w:rsid w:val="2891501A"/>
    <w:rsid w:val="28937E6D"/>
    <w:rsid w:val="28A66523"/>
    <w:rsid w:val="28AD2029"/>
    <w:rsid w:val="28AE4FA7"/>
    <w:rsid w:val="28B220F4"/>
    <w:rsid w:val="28C075A4"/>
    <w:rsid w:val="28CE2A8C"/>
    <w:rsid w:val="28D139F1"/>
    <w:rsid w:val="28D4119A"/>
    <w:rsid w:val="28D5169B"/>
    <w:rsid w:val="28DA6C60"/>
    <w:rsid w:val="28DB0A30"/>
    <w:rsid w:val="28E7672E"/>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7F6ED3"/>
    <w:rsid w:val="29981CF5"/>
    <w:rsid w:val="299D117F"/>
    <w:rsid w:val="29A4634A"/>
    <w:rsid w:val="29A84DD1"/>
    <w:rsid w:val="29AA2390"/>
    <w:rsid w:val="29B85AFC"/>
    <w:rsid w:val="29BB74AF"/>
    <w:rsid w:val="29BC2AA4"/>
    <w:rsid w:val="29CD2270"/>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3B063B"/>
    <w:rsid w:val="2A49761F"/>
    <w:rsid w:val="2A4C74B8"/>
    <w:rsid w:val="2A4F49D1"/>
    <w:rsid w:val="2A500712"/>
    <w:rsid w:val="2A627A42"/>
    <w:rsid w:val="2A630308"/>
    <w:rsid w:val="2A676AD0"/>
    <w:rsid w:val="2A687AA6"/>
    <w:rsid w:val="2A6A2073"/>
    <w:rsid w:val="2A770CC7"/>
    <w:rsid w:val="2A7A022E"/>
    <w:rsid w:val="2A7D3DFE"/>
    <w:rsid w:val="2A8A27A6"/>
    <w:rsid w:val="2A8B1FCC"/>
    <w:rsid w:val="2A913D35"/>
    <w:rsid w:val="2A9303DF"/>
    <w:rsid w:val="2A9A66D4"/>
    <w:rsid w:val="2AA12DD3"/>
    <w:rsid w:val="2AAA29AB"/>
    <w:rsid w:val="2AAC36BD"/>
    <w:rsid w:val="2AB04937"/>
    <w:rsid w:val="2AB86677"/>
    <w:rsid w:val="2ABC2E55"/>
    <w:rsid w:val="2AC90132"/>
    <w:rsid w:val="2ACF5AEC"/>
    <w:rsid w:val="2AD62AB0"/>
    <w:rsid w:val="2ADC1447"/>
    <w:rsid w:val="2ADE1583"/>
    <w:rsid w:val="2AE70523"/>
    <w:rsid w:val="2AED6A07"/>
    <w:rsid w:val="2AF12CDF"/>
    <w:rsid w:val="2AF27DCB"/>
    <w:rsid w:val="2B0726A6"/>
    <w:rsid w:val="2B0C6B23"/>
    <w:rsid w:val="2B0D3C71"/>
    <w:rsid w:val="2B1D6F4B"/>
    <w:rsid w:val="2B2D1363"/>
    <w:rsid w:val="2B3032BB"/>
    <w:rsid w:val="2B306C2A"/>
    <w:rsid w:val="2B335E16"/>
    <w:rsid w:val="2B42025A"/>
    <w:rsid w:val="2B450516"/>
    <w:rsid w:val="2B4526E2"/>
    <w:rsid w:val="2B4722C4"/>
    <w:rsid w:val="2B4F3C6E"/>
    <w:rsid w:val="2B592A46"/>
    <w:rsid w:val="2B5B7165"/>
    <w:rsid w:val="2B611B55"/>
    <w:rsid w:val="2B686C09"/>
    <w:rsid w:val="2B773D2F"/>
    <w:rsid w:val="2B795BD8"/>
    <w:rsid w:val="2B8759DF"/>
    <w:rsid w:val="2B8B34AB"/>
    <w:rsid w:val="2B8C6A2F"/>
    <w:rsid w:val="2B914C5E"/>
    <w:rsid w:val="2BA252E6"/>
    <w:rsid w:val="2BB44220"/>
    <w:rsid w:val="2BB61EA7"/>
    <w:rsid w:val="2BBA6EF5"/>
    <w:rsid w:val="2BC01081"/>
    <w:rsid w:val="2BC03979"/>
    <w:rsid w:val="2BC44550"/>
    <w:rsid w:val="2BC6496E"/>
    <w:rsid w:val="2BC941AF"/>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164C9"/>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EF71FF"/>
    <w:rsid w:val="2CF4201A"/>
    <w:rsid w:val="2CFD5C64"/>
    <w:rsid w:val="2D0128E8"/>
    <w:rsid w:val="2D0450C7"/>
    <w:rsid w:val="2D0C5A2F"/>
    <w:rsid w:val="2D0E231B"/>
    <w:rsid w:val="2D145154"/>
    <w:rsid w:val="2D154754"/>
    <w:rsid w:val="2D1A1A6B"/>
    <w:rsid w:val="2D1A4915"/>
    <w:rsid w:val="2D306B85"/>
    <w:rsid w:val="2D323D75"/>
    <w:rsid w:val="2D400A9F"/>
    <w:rsid w:val="2D540857"/>
    <w:rsid w:val="2D590555"/>
    <w:rsid w:val="2D726428"/>
    <w:rsid w:val="2D7A06F1"/>
    <w:rsid w:val="2D8151A4"/>
    <w:rsid w:val="2DA02E9C"/>
    <w:rsid w:val="2DBB1852"/>
    <w:rsid w:val="2DBE5F50"/>
    <w:rsid w:val="2DBF0C3E"/>
    <w:rsid w:val="2DBF1601"/>
    <w:rsid w:val="2DBF4C3A"/>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3F5541"/>
    <w:rsid w:val="2E46069F"/>
    <w:rsid w:val="2E5608F9"/>
    <w:rsid w:val="2E59206F"/>
    <w:rsid w:val="2E6B29AA"/>
    <w:rsid w:val="2E6F4813"/>
    <w:rsid w:val="2E705752"/>
    <w:rsid w:val="2E7622E7"/>
    <w:rsid w:val="2E7A5E34"/>
    <w:rsid w:val="2E7B65BB"/>
    <w:rsid w:val="2E855C37"/>
    <w:rsid w:val="2E877B3D"/>
    <w:rsid w:val="2E8863A8"/>
    <w:rsid w:val="2E8F09A4"/>
    <w:rsid w:val="2E993370"/>
    <w:rsid w:val="2E9A086A"/>
    <w:rsid w:val="2EA049A8"/>
    <w:rsid w:val="2EA26ABE"/>
    <w:rsid w:val="2EA72F10"/>
    <w:rsid w:val="2EA74B75"/>
    <w:rsid w:val="2EB61295"/>
    <w:rsid w:val="2EC414ED"/>
    <w:rsid w:val="2EC71A13"/>
    <w:rsid w:val="2ED24577"/>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712CF7"/>
    <w:rsid w:val="2F7E7309"/>
    <w:rsid w:val="2F805714"/>
    <w:rsid w:val="2F8640C4"/>
    <w:rsid w:val="2F8E5F5C"/>
    <w:rsid w:val="2F921FAC"/>
    <w:rsid w:val="2FA17D6D"/>
    <w:rsid w:val="2FA21231"/>
    <w:rsid w:val="2FAD4759"/>
    <w:rsid w:val="2FAD5866"/>
    <w:rsid w:val="2FAF39EC"/>
    <w:rsid w:val="2FCA0967"/>
    <w:rsid w:val="2FCA6BDC"/>
    <w:rsid w:val="2FD84674"/>
    <w:rsid w:val="2FDB17E1"/>
    <w:rsid w:val="2FE20568"/>
    <w:rsid w:val="2FE37171"/>
    <w:rsid w:val="2FF117AD"/>
    <w:rsid w:val="2FF17999"/>
    <w:rsid w:val="2FF40BAE"/>
    <w:rsid w:val="2FF95633"/>
    <w:rsid w:val="30010F70"/>
    <w:rsid w:val="300F7F13"/>
    <w:rsid w:val="30140148"/>
    <w:rsid w:val="30151A88"/>
    <w:rsid w:val="301E3C00"/>
    <w:rsid w:val="302757BF"/>
    <w:rsid w:val="302E1CAD"/>
    <w:rsid w:val="303F41B8"/>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22EAF"/>
    <w:rsid w:val="31840D12"/>
    <w:rsid w:val="31846FF6"/>
    <w:rsid w:val="318E27CE"/>
    <w:rsid w:val="319268E9"/>
    <w:rsid w:val="319B3834"/>
    <w:rsid w:val="319D6381"/>
    <w:rsid w:val="31A53A0B"/>
    <w:rsid w:val="31A7307B"/>
    <w:rsid w:val="31A94576"/>
    <w:rsid w:val="31AC2EA3"/>
    <w:rsid w:val="31AE5AA7"/>
    <w:rsid w:val="31B23BA8"/>
    <w:rsid w:val="31B41234"/>
    <w:rsid w:val="31C363A1"/>
    <w:rsid w:val="31CA5CF8"/>
    <w:rsid w:val="31CB26CD"/>
    <w:rsid w:val="31D06A52"/>
    <w:rsid w:val="31E302B9"/>
    <w:rsid w:val="31F20023"/>
    <w:rsid w:val="31F536F7"/>
    <w:rsid w:val="31F95C2C"/>
    <w:rsid w:val="31FA7AEE"/>
    <w:rsid w:val="31FB60C5"/>
    <w:rsid w:val="32045E02"/>
    <w:rsid w:val="3209100C"/>
    <w:rsid w:val="321E250B"/>
    <w:rsid w:val="32226597"/>
    <w:rsid w:val="322A5516"/>
    <w:rsid w:val="322C6DC4"/>
    <w:rsid w:val="3238698E"/>
    <w:rsid w:val="324968A9"/>
    <w:rsid w:val="324F1DD8"/>
    <w:rsid w:val="32544043"/>
    <w:rsid w:val="3259293C"/>
    <w:rsid w:val="325E5514"/>
    <w:rsid w:val="32666821"/>
    <w:rsid w:val="326718A4"/>
    <w:rsid w:val="32694229"/>
    <w:rsid w:val="326A18B1"/>
    <w:rsid w:val="326B7BBB"/>
    <w:rsid w:val="3272101B"/>
    <w:rsid w:val="327A3DD6"/>
    <w:rsid w:val="327E6AD8"/>
    <w:rsid w:val="32946A84"/>
    <w:rsid w:val="32AA6E8C"/>
    <w:rsid w:val="32B22C9D"/>
    <w:rsid w:val="32BC6631"/>
    <w:rsid w:val="32C05B65"/>
    <w:rsid w:val="32C6418D"/>
    <w:rsid w:val="32D14A7F"/>
    <w:rsid w:val="32D26AE6"/>
    <w:rsid w:val="32D733FA"/>
    <w:rsid w:val="32DE353D"/>
    <w:rsid w:val="32E148E8"/>
    <w:rsid w:val="32E343F6"/>
    <w:rsid w:val="32E921F0"/>
    <w:rsid w:val="32F330D3"/>
    <w:rsid w:val="32F76D5D"/>
    <w:rsid w:val="32F86450"/>
    <w:rsid w:val="330244A4"/>
    <w:rsid w:val="33086783"/>
    <w:rsid w:val="330F1E44"/>
    <w:rsid w:val="331747E7"/>
    <w:rsid w:val="331B37C6"/>
    <w:rsid w:val="331C390F"/>
    <w:rsid w:val="333A0536"/>
    <w:rsid w:val="333E0FE1"/>
    <w:rsid w:val="334D7767"/>
    <w:rsid w:val="334F2840"/>
    <w:rsid w:val="335A59CC"/>
    <w:rsid w:val="33610DDA"/>
    <w:rsid w:val="3362171F"/>
    <w:rsid w:val="3366319E"/>
    <w:rsid w:val="336C2B69"/>
    <w:rsid w:val="33767D1F"/>
    <w:rsid w:val="337F446B"/>
    <w:rsid w:val="338E29B0"/>
    <w:rsid w:val="33924A39"/>
    <w:rsid w:val="339902E6"/>
    <w:rsid w:val="339D35FC"/>
    <w:rsid w:val="33A156DE"/>
    <w:rsid w:val="33B31E2C"/>
    <w:rsid w:val="33B52233"/>
    <w:rsid w:val="33B70359"/>
    <w:rsid w:val="33BA1B32"/>
    <w:rsid w:val="33CB205A"/>
    <w:rsid w:val="33D451B9"/>
    <w:rsid w:val="33E20DF0"/>
    <w:rsid w:val="33E570DD"/>
    <w:rsid w:val="33EE5E44"/>
    <w:rsid w:val="33F66B85"/>
    <w:rsid w:val="33F81D16"/>
    <w:rsid w:val="33FE4E44"/>
    <w:rsid w:val="34004C51"/>
    <w:rsid w:val="34087429"/>
    <w:rsid w:val="340B5F03"/>
    <w:rsid w:val="3411600B"/>
    <w:rsid w:val="341315B5"/>
    <w:rsid w:val="34147AA7"/>
    <w:rsid w:val="341808C3"/>
    <w:rsid w:val="34182B66"/>
    <w:rsid w:val="34260D3D"/>
    <w:rsid w:val="342D198C"/>
    <w:rsid w:val="342D3CE2"/>
    <w:rsid w:val="34343D6C"/>
    <w:rsid w:val="34347DC5"/>
    <w:rsid w:val="34380493"/>
    <w:rsid w:val="34463967"/>
    <w:rsid w:val="344C08D2"/>
    <w:rsid w:val="345543D1"/>
    <w:rsid w:val="345A7367"/>
    <w:rsid w:val="345D2CD0"/>
    <w:rsid w:val="346C0AEA"/>
    <w:rsid w:val="3473748E"/>
    <w:rsid w:val="347F540F"/>
    <w:rsid w:val="34860685"/>
    <w:rsid w:val="34863322"/>
    <w:rsid w:val="34885DB3"/>
    <w:rsid w:val="348F7A0E"/>
    <w:rsid w:val="349A0B7D"/>
    <w:rsid w:val="34A83771"/>
    <w:rsid w:val="34A851E8"/>
    <w:rsid w:val="34B476F9"/>
    <w:rsid w:val="34B51A96"/>
    <w:rsid w:val="34C800BD"/>
    <w:rsid w:val="34CC1DC7"/>
    <w:rsid w:val="34D47C8A"/>
    <w:rsid w:val="34D874E5"/>
    <w:rsid w:val="34DB0CAC"/>
    <w:rsid w:val="34DD3DF9"/>
    <w:rsid w:val="34DE6678"/>
    <w:rsid w:val="34E972FC"/>
    <w:rsid w:val="34F83EF3"/>
    <w:rsid w:val="34F953E0"/>
    <w:rsid w:val="34FF2166"/>
    <w:rsid w:val="350B69C5"/>
    <w:rsid w:val="351C075B"/>
    <w:rsid w:val="351D7027"/>
    <w:rsid w:val="35233F18"/>
    <w:rsid w:val="3524348B"/>
    <w:rsid w:val="35295D65"/>
    <w:rsid w:val="352B5169"/>
    <w:rsid w:val="35333FF2"/>
    <w:rsid w:val="353C4905"/>
    <w:rsid w:val="353C75ED"/>
    <w:rsid w:val="353E791E"/>
    <w:rsid w:val="354008AB"/>
    <w:rsid w:val="354966A2"/>
    <w:rsid w:val="354C7B38"/>
    <w:rsid w:val="354E7911"/>
    <w:rsid w:val="354F28B8"/>
    <w:rsid w:val="35562F9E"/>
    <w:rsid w:val="35581BA8"/>
    <w:rsid w:val="355A4F10"/>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9B380D"/>
    <w:rsid w:val="36A312B2"/>
    <w:rsid w:val="36A9265A"/>
    <w:rsid w:val="36B121C7"/>
    <w:rsid w:val="36B2486C"/>
    <w:rsid w:val="36BA14F4"/>
    <w:rsid w:val="36C366A9"/>
    <w:rsid w:val="36D009E5"/>
    <w:rsid w:val="36D27C18"/>
    <w:rsid w:val="36D512A9"/>
    <w:rsid w:val="36D934D3"/>
    <w:rsid w:val="36D94280"/>
    <w:rsid w:val="36DE2053"/>
    <w:rsid w:val="36E07ED3"/>
    <w:rsid w:val="36F414F3"/>
    <w:rsid w:val="37002C93"/>
    <w:rsid w:val="370974B4"/>
    <w:rsid w:val="371A5A8E"/>
    <w:rsid w:val="371B03AE"/>
    <w:rsid w:val="371E6151"/>
    <w:rsid w:val="37277663"/>
    <w:rsid w:val="372918B9"/>
    <w:rsid w:val="372A07F2"/>
    <w:rsid w:val="37357964"/>
    <w:rsid w:val="373D6F58"/>
    <w:rsid w:val="37446333"/>
    <w:rsid w:val="37446A77"/>
    <w:rsid w:val="3745400A"/>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74CFA"/>
    <w:rsid w:val="37ED5E3A"/>
    <w:rsid w:val="37EF1B98"/>
    <w:rsid w:val="37F311D3"/>
    <w:rsid w:val="37F7242F"/>
    <w:rsid w:val="37FD1EC6"/>
    <w:rsid w:val="380579FE"/>
    <w:rsid w:val="380A2EB4"/>
    <w:rsid w:val="38157509"/>
    <w:rsid w:val="381D5340"/>
    <w:rsid w:val="382115C5"/>
    <w:rsid w:val="382150C9"/>
    <w:rsid w:val="382372FE"/>
    <w:rsid w:val="38284CDE"/>
    <w:rsid w:val="382D297A"/>
    <w:rsid w:val="382F19E6"/>
    <w:rsid w:val="383B2EED"/>
    <w:rsid w:val="384C2D57"/>
    <w:rsid w:val="38557E21"/>
    <w:rsid w:val="3856501D"/>
    <w:rsid w:val="38590DD6"/>
    <w:rsid w:val="385F47DB"/>
    <w:rsid w:val="3865366F"/>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0393A"/>
    <w:rsid w:val="38E11AA1"/>
    <w:rsid w:val="38E45926"/>
    <w:rsid w:val="38E46191"/>
    <w:rsid w:val="38EB7945"/>
    <w:rsid w:val="38EC260C"/>
    <w:rsid w:val="38F50C85"/>
    <w:rsid w:val="39065A02"/>
    <w:rsid w:val="390946B7"/>
    <w:rsid w:val="39105718"/>
    <w:rsid w:val="392B6A4C"/>
    <w:rsid w:val="393544DD"/>
    <w:rsid w:val="393962EC"/>
    <w:rsid w:val="393F6CD7"/>
    <w:rsid w:val="39457868"/>
    <w:rsid w:val="3949186A"/>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2434"/>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90278"/>
    <w:rsid w:val="3AA97F70"/>
    <w:rsid w:val="3AAA0A20"/>
    <w:rsid w:val="3AAC45FD"/>
    <w:rsid w:val="3AB26A14"/>
    <w:rsid w:val="3AB94248"/>
    <w:rsid w:val="3ABE76C3"/>
    <w:rsid w:val="3ABF42F5"/>
    <w:rsid w:val="3ACE7D16"/>
    <w:rsid w:val="3AD73D23"/>
    <w:rsid w:val="3AF932C9"/>
    <w:rsid w:val="3AFD37D0"/>
    <w:rsid w:val="3B016EE9"/>
    <w:rsid w:val="3B075C4E"/>
    <w:rsid w:val="3B0C7A7D"/>
    <w:rsid w:val="3B0D67FF"/>
    <w:rsid w:val="3B0E6B93"/>
    <w:rsid w:val="3B130528"/>
    <w:rsid w:val="3B1703B9"/>
    <w:rsid w:val="3B1B0093"/>
    <w:rsid w:val="3B2356A8"/>
    <w:rsid w:val="3B235A33"/>
    <w:rsid w:val="3B2D161A"/>
    <w:rsid w:val="3B2E7833"/>
    <w:rsid w:val="3B3A132E"/>
    <w:rsid w:val="3B456D7F"/>
    <w:rsid w:val="3B5B2C0F"/>
    <w:rsid w:val="3B5E261D"/>
    <w:rsid w:val="3B5F14B4"/>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B66191"/>
    <w:rsid w:val="3BD039A1"/>
    <w:rsid w:val="3BDE5F4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B0B4B"/>
    <w:rsid w:val="3C3D016E"/>
    <w:rsid w:val="3C3E1793"/>
    <w:rsid w:val="3C454266"/>
    <w:rsid w:val="3C4864AA"/>
    <w:rsid w:val="3C49796D"/>
    <w:rsid w:val="3C4C4180"/>
    <w:rsid w:val="3C4F7D80"/>
    <w:rsid w:val="3C64689F"/>
    <w:rsid w:val="3C6E7D4D"/>
    <w:rsid w:val="3C740DAA"/>
    <w:rsid w:val="3C750E34"/>
    <w:rsid w:val="3C7C060E"/>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44675"/>
    <w:rsid w:val="3D0B7E6F"/>
    <w:rsid w:val="3D0F1231"/>
    <w:rsid w:val="3D184661"/>
    <w:rsid w:val="3D200D7C"/>
    <w:rsid w:val="3D211EBB"/>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B17297"/>
    <w:rsid w:val="3DB752E9"/>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80BF1"/>
    <w:rsid w:val="3E7A1C88"/>
    <w:rsid w:val="3E8317A2"/>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25C6"/>
    <w:rsid w:val="3F144192"/>
    <w:rsid w:val="3F1871AF"/>
    <w:rsid w:val="3F217DDA"/>
    <w:rsid w:val="3F2B184D"/>
    <w:rsid w:val="3F2C7646"/>
    <w:rsid w:val="3F421D47"/>
    <w:rsid w:val="3F441B08"/>
    <w:rsid w:val="3F4A4087"/>
    <w:rsid w:val="3F5361F5"/>
    <w:rsid w:val="3F6B3632"/>
    <w:rsid w:val="3F776E0A"/>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372C35"/>
    <w:rsid w:val="403870E4"/>
    <w:rsid w:val="403D7C5C"/>
    <w:rsid w:val="40400533"/>
    <w:rsid w:val="40430016"/>
    <w:rsid w:val="4049754C"/>
    <w:rsid w:val="404B2521"/>
    <w:rsid w:val="404F7DEB"/>
    <w:rsid w:val="40572DA6"/>
    <w:rsid w:val="405A424E"/>
    <w:rsid w:val="40692098"/>
    <w:rsid w:val="406D461C"/>
    <w:rsid w:val="406F7D87"/>
    <w:rsid w:val="40825FDB"/>
    <w:rsid w:val="40836EAD"/>
    <w:rsid w:val="40907287"/>
    <w:rsid w:val="409238F2"/>
    <w:rsid w:val="40953EC0"/>
    <w:rsid w:val="40981598"/>
    <w:rsid w:val="40AB3054"/>
    <w:rsid w:val="40AF2B72"/>
    <w:rsid w:val="40BD153A"/>
    <w:rsid w:val="40C3250A"/>
    <w:rsid w:val="40CD7BD8"/>
    <w:rsid w:val="40CE24AF"/>
    <w:rsid w:val="40D07371"/>
    <w:rsid w:val="40D72999"/>
    <w:rsid w:val="40DF3ABC"/>
    <w:rsid w:val="40E44A66"/>
    <w:rsid w:val="40E75AF0"/>
    <w:rsid w:val="40E87142"/>
    <w:rsid w:val="40F00A85"/>
    <w:rsid w:val="40F1013C"/>
    <w:rsid w:val="40F35427"/>
    <w:rsid w:val="40FE1447"/>
    <w:rsid w:val="41021636"/>
    <w:rsid w:val="41053DED"/>
    <w:rsid w:val="412506DF"/>
    <w:rsid w:val="4130390D"/>
    <w:rsid w:val="413B1BAB"/>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20CD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43E7D"/>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B92216"/>
    <w:rsid w:val="42C5796D"/>
    <w:rsid w:val="42D67001"/>
    <w:rsid w:val="42E06A10"/>
    <w:rsid w:val="42EF3BB4"/>
    <w:rsid w:val="42F875D5"/>
    <w:rsid w:val="430A5FFD"/>
    <w:rsid w:val="43112BE5"/>
    <w:rsid w:val="43120C73"/>
    <w:rsid w:val="431B56C6"/>
    <w:rsid w:val="431C7B04"/>
    <w:rsid w:val="432466AA"/>
    <w:rsid w:val="432E5E21"/>
    <w:rsid w:val="4334749B"/>
    <w:rsid w:val="4337110A"/>
    <w:rsid w:val="433C41B8"/>
    <w:rsid w:val="433D2335"/>
    <w:rsid w:val="433F57C3"/>
    <w:rsid w:val="43426A44"/>
    <w:rsid w:val="434660C5"/>
    <w:rsid w:val="43605DCC"/>
    <w:rsid w:val="43614CEE"/>
    <w:rsid w:val="43621947"/>
    <w:rsid w:val="4363090C"/>
    <w:rsid w:val="43664819"/>
    <w:rsid w:val="436A2192"/>
    <w:rsid w:val="436C40C2"/>
    <w:rsid w:val="436D7811"/>
    <w:rsid w:val="438B6310"/>
    <w:rsid w:val="438D7B3E"/>
    <w:rsid w:val="439322F0"/>
    <w:rsid w:val="43964600"/>
    <w:rsid w:val="4397231A"/>
    <w:rsid w:val="439C3431"/>
    <w:rsid w:val="439D0E7C"/>
    <w:rsid w:val="43A26A83"/>
    <w:rsid w:val="43A41643"/>
    <w:rsid w:val="43AA06E9"/>
    <w:rsid w:val="43C0281C"/>
    <w:rsid w:val="43C02B26"/>
    <w:rsid w:val="43D10A40"/>
    <w:rsid w:val="43D67A91"/>
    <w:rsid w:val="43E21F58"/>
    <w:rsid w:val="43E35EF0"/>
    <w:rsid w:val="43F76F69"/>
    <w:rsid w:val="43F90FED"/>
    <w:rsid w:val="43FC0DB2"/>
    <w:rsid w:val="44095B4D"/>
    <w:rsid w:val="440C5D56"/>
    <w:rsid w:val="441356E4"/>
    <w:rsid w:val="44153F0C"/>
    <w:rsid w:val="44174583"/>
    <w:rsid w:val="441A5200"/>
    <w:rsid w:val="4425456D"/>
    <w:rsid w:val="44336EAB"/>
    <w:rsid w:val="44393BD3"/>
    <w:rsid w:val="444109FB"/>
    <w:rsid w:val="444E22EA"/>
    <w:rsid w:val="44584267"/>
    <w:rsid w:val="446D5306"/>
    <w:rsid w:val="44705173"/>
    <w:rsid w:val="44740841"/>
    <w:rsid w:val="44757F00"/>
    <w:rsid w:val="4476407C"/>
    <w:rsid w:val="447B4A66"/>
    <w:rsid w:val="447D4136"/>
    <w:rsid w:val="448B5845"/>
    <w:rsid w:val="448C73DD"/>
    <w:rsid w:val="44907237"/>
    <w:rsid w:val="449510AA"/>
    <w:rsid w:val="449D7968"/>
    <w:rsid w:val="44AA6690"/>
    <w:rsid w:val="44B4690B"/>
    <w:rsid w:val="44B53006"/>
    <w:rsid w:val="44BA1648"/>
    <w:rsid w:val="44BB150F"/>
    <w:rsid w:val="44BE4FA9"/>
    <w:rsid w:val="44C43057"/>
    <w:rsid w:val="44C87C0F"/>
    <w:rsid w:val="44D31B1E"/>
    <w:rsid w:val="44DF6F1B"/>
    <w:rsid w:val="44E54BDC"/>
    <w:rsid w:val="44E92DF3"/>
    <w:rsid w:val="44F82D0E"/>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30606"/>
    <w:rsid w:val="456C4CA4"/>
    <w:rsid w:val="457736FF"/>
    <w:rsid w:val="45790DCE"/>
    <w:rsid w:val="457E31A2"/>
    <w:rsid w:val="458B757C"/>
    <w:rsid w:val="458D679F"/>
    <w:rsid w:val="459026D9"/>
    <w:rsid w:val="45917B8A"/>
    <w:rsid w:val="45973BF7"/>
    <w:rsid w:val="459B634C"/>
    <w:rsid w:val="459F2381"/>
    <w:rsid w:val="45A74FA6"/>
    <w:rsid w:val="45B315CE"/>
    <w:rsid w:val="45B64B84"/>
    <w:rsid w:val="45DF3F62"/>
    <w:rsid w:val="45E37678"/>
    <w:rsid w:val="45E526A6"/>
    <w:rsid w:val="45E56E31"/>
    <w:rsid w:val="45E66893"/>
    <w:rsid w:val="45E826B2"/>
    <w:rsid w:val="45EA2F8B"/>
    <w:rsid w:val="45F4334C"/>
    <w:rsid w:val="460D3781"/>
    <w:rsid w:val="46365246"/>
    <w:rsid w:val="46466453"/>
    <w:rsid w:val="464871AD"/>
    <w:rsid w:val="464A6F2D"/>
    <w:rsid w:val="465918B0"/>
    <w:rsid w:val="465E5989"/>
    <w:rsid w:val="4662020E"/>
    <w:rsid w:val="466D3070"/>
    <w:rsid w:val="4671651F"/>
    <w:rsid w:val="46787358"/>
    <w:rsid w:val="467929D1"/>
    <w:rsid w:val="4679494F"/>
    <w:rsid w:val="467A6815"/>
    <w:rsid w:val="467B53A9"/>
    <w:rsid w:val="467D5367"/>
    <w:rsid w:val="46866306"/>
    <w:rsid w:val="468A27AC"/>
    <w:rsid w:val="468E6888"/>
    <w:rsid w:val="46914620"/>
    <w:rsid w:val="46963469"/>
    <w:rsid w:val="46981A1E"/>
    <w:rsid w:val="46987D2F"/>
    <w:rsid w:val="46995896"/>
    <w:rsid w:val="469D4ADE"/>
    <w:rsid w:val="469D5DE8"/>
    <w:rsid w:val="46A35C12"/>
    <w:rsid w:val="46A55B0E"/>
    <w:rsid w:val="46A82992"/>
    <w:rsid w:val="46AD7A54"/>
    <w:rsid w:val="46B134DD"/>
    <w:rsid w:val="46B419BE"/>
    <w:rsid w:val="46B640D3"/>
    <w:rsid w:val="46CD1F17"/>
    <w:rsid w:val="46D126E3"/>
    <w:rsid w:val="46D67289"/>
    <w:rsid w:val="46DB64CD"/>
    <w:rsid w:val="46DD1D17"/>
    <w:rsid w:val="46E1018C"/>
    <w:rsid w:val="46E53AB0"/>
    <w:rsid w:val="46EB563D"/>
    <w:rsid w:val="46F37479"/>
    <w:rsid w:val="46FC2FE8"/>
    <w:rsid w:val="47033281"/>
    <w:rsid w:val="47065799"/>
    <w:rsid w:val="47073BE8"/>
    <w:rsid w:val="470872CF"/>
    <w:rsid w:val="470D53CA"/>
    <w:rsid w:val="471563E1"/>
    <w:rsid w:val="47167C67"/>
    <w:rsid w:val="47333B1B"/>
    <w:rsid w:val="47351654"/>
    <w:rsid w:val="473D0BD8"/>
    <w:rsid w:val="47457188"/>
    <w:rsid w:val="4763716E"/>
    <w:rsid w:val="47644CFB"/>
    <w:rsid w:val="47666951"/>
    <w:rsid w:val="476825ED"/>
    <w:rsid w:val="47683159"/>
    <w:rsid w:val="476A7D07"/>
    <w:rsid w:val="47902B9E"/>
    <w:rsid w:val="479766B4"/>
    <w:rsid w:val="479A472B"/>
    <w:rsid w:val="479D7800"/>
    <w:rsid w:val="47A240A4"/>
    <w:rsid w:val="47AA1593"/>
    <w:rsid w:val="47B44BED"/>
    <w:rsid w:val="47BC3466"/>
    <w:rsid w:val="47D04108"/>
    <w:rsid w:val="47D730B6"/>
    <w:rsid w:val="47DD6A91"/>
    <w:rsid w:val="47E62C82"/>
    <w:rsid w:val="47EB0853"/>
    <w:rsid w:val="47EB5BFA"/>
    <w:rsid w:val="47FA20F9"/>
    <w:rsid w:val="47FF3A74"/>
    <w:rsid w:val="480B7A59"/>
    <w:rsid w:val="48111DC2"/>
    <w:rsid w:val="48156BFB"/>
    <w:rsid w:val="482B39B5"/>
    <w:rsid w:val="482D350F"/>
    <w:rsid w:val="48373BC4"/>
    <w:rsid w:val="483962B2"/>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61BB8"/>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E677E0"/>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43519"/>
    <w:rsid w:val="495719F4"/>
    <w:rsid w:val="495767CD"/>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21618"/>
    <w:rsid w:val="49A43EE6"/>
    <w:rsid w:val="49AB3DB8"/>
    <w:rsid w:val="49B4201A"/>
    <w:rsid w:val="49BA6924"/>
    <w:rsid w:val="49C20C6C"/>
    <w:rsid w:val="49CE0C89"/>
    <w:rsid w:val="49D93C20"/>
    <w:rsid w:val="49DA3FD3"/>
    <w:rsid w:val="49DA7AB7"/>
    <w:rsid w:val="49E028D9"/>
    <w:rsid w:val="49E46DD1"/>
    <w:rsid w:val="4A0573EC"/>
    <w:rsid w:val="4A06116C"/>
    <w:rsid w:val="4A070E8E"/>
    <w:rsid w:val="4A09499E"/>
    <w:rsid w:val="4A2E7749"/>
    <w:rsid w:val="4A325F1C"/>
    <w:rsid w:val="4A381BA6"/>
    <w:rsid w:val="4A3926E2"/>
    <w:rsid w:val="4A3D25CC"/>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A456B8"/>
    <w:rsid w:val="4AA75186"/>
    <w:rsid w:val="4AAF1B3A"/>
    <w:rsid w:val="4AB113DF"/>
    <w:rsid w:val="4ABB3CDE"/>
    <w:rsid w:val="4AC4256B"/>
    <w:rsid w:val="4AC860DD"/>
    <w:rsid w:val="4AD162A8"/>
    <w:rsid w:val="4AD25C89"/>
    <w:rsid w:val="4AD768C6"/>
    <w:rsid w:val="4AD87758"/>
    <w:rsid w:val="4AE0796F"/>
    <w:rsid w:val="4AE30444"/>
    <w:rsid w:val="4AF902F5"/>
    <w:rsid w:val="4AF94D42"/>
    <w:rsid w:val="4B0107DC"/>
    <w:rsid w:val="4B205D7D"/>
    <w:rsid w:val="4B28587C"/>
    <w:rsid w:val="4B292683"/>
    <w:rsid w:val="4B294C7C"/>
    <w:rsid w:val="4B376E2E"/>
    <w:rsid w:val="4B385AE2"/>
    <w:rsid w:val="4B3D5656"/>
    <w:rsid w:val="4B3F4861"/>
    <w:rsid w:val="4B406616"/>
    <w:rsid w:val="4B4C459F"/>
    <w:rsid w:val="4B50566A"/>
    <w:rsid w:val="4B53122B"/>
    <w:rsid w:val="4B571002"/>
    <w:rsid w:val="4B5912E9"/>
    <w:rsid w:val="4B5D1DDE"/>
    <w:rsid w:val="4B645EA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C6918"/>
    <w:rsid w:val="4BAD4CA2"/>
    <w:rsid w:val="4BC456EF"/>
    <w:rsid w:val="4BC647B0"/>
    <w:rsid w:val="4BCB1BAE"/>
    <w:rsid w:val="4BD94F2A"/>
    <w:rsid w:val="4BDF4B49"/>
    <w:rsid w:val="4BE57E16"/>
    <w:rsid w:val="4BE819D0"/>
    <w:rsid w:val="4BE8649D"/>
    <w:rsid w:val="4BF67170"/>
    <w:rsid w:val="4C0236B4"/>
    <w:rsid w:val="4C0C091F"/>
    <w:rsid w:val="4C170C9D"/>
    <w:rsid w:val="4C192F75"/>
    <w:rsid w:val="4C1C0BD6"/>
    <w:rsid w:val="4C1E085C"/>
    <w:rsid w:val="4C1E7AAC"/>
    <w:rsid w:val="4C20259F"/>
    <w:rsid w:val="4C312ECF"/>
    <w:rsid w:val="4C3A3408"/>
    <w:rsid w:val="4C3D507E"/>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87AEB"/>
    <w:rsid w:val="4CDA21DD"/>
    <w:rsid w:val="4CE12887"/>
    <w:rsid w:val="4CE472E9"/>
    <w:rsid w:val="4CF04CFC"/>
    <w:rsid w:val="4CF05C74"/>
    <w:rsid w:val="4CF26BC3"/>
    <w:rsid w:val="4CFB51DB"/>
    <w:rsid w:val="4CFC3F2E"/>
    <w:rsid w:val="4D0F1680"/>
    <w:rsid w:val="4D144426"/>
    <w:rsid w:val="4D1D6CA0"/>
    <w:rsid w:val="4D2609C6"/>
    <w:rsid w:val="4D2A26AA"/>
    <w:rsid w:val="4D2A2C09"/>
    <w:rsid w:val="4D2F5C2A"/>
    <w:rsid w:val="4D33448A"/>
    <w:rsid w:val="4D3F4840"/>
    <w:rsid w:val="4D410392"/>
    <w:rsid w:val="4D422D07"/>
    <w:rsid w:val="4D427BBD"/>
    <w:rsid w:val="4D570519"/>
    <w:rsid w:val="4D5A2B9C"/>
    <w:rsid w:val="4D5C5732"/>
    <w:rsid w:val="4D656800"/>
    <w:rsid w:val="4D6C4B60"/>
    <w:rsid w:val="4D6F1DC5"/>
    <w:rsid w:val="4D705706"/>
    <w:rsid w:val="4D7220A0"/>
    <w:rsid w:val="4D76173E"/>
    <w:rsid w:val="4D7D20F7"/>
    <w:rsid w:val="4D8A1210"/>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3C0154"/>
    <w:rsid w:val="4E412A4D"/>
    <w:rsid w:val="4E4475F5"/>
    <w:rsid w:val="4E451C79"/>
    <w:rsid w:val="4E587463"/>
    <w:rsid w:val="4E5A3449"/>
    <w:rsid w:val="4E6415B7"/>
    <w:rsid w:val="4E68543B"/>
    <w:rsid w:val="4E6906EE"/>
    <w:rsid w:val="4E694E99"/>
    <w:rsid w:val="4E6D1740"/>
    <w:rsid w:val="4E7125DA"/>
    <w:rsid w:val="4E784D1C"/>
    <w:rsid w:val="4E795FE9"/>
    <w:rsid w:val="4E797F06"/>
    <w:rsid w:val="4E8D3751"/>
    <w:rsid w:val="4E8D409B"/>
    <w:rsid w:val="4E904370"/>
    <w:rsid w:val="4E937763"/>
    <w:rsid w:val="4E991182"/>
    <w:rsid w:val="4E9E5BA9"/>
    <w:rsid w:val="4E9F5613"/>
    <w:rsid w:val="4EA9172F"/>
    <w:rsid w:val="4EAC241A"/>
    <w:rsid w:val="4EB67945"/>
    <w:rsid w:val="4ECA2CB3"/>
    <w:rsid w:val="4ED32EBD"/>
    <w:rsid w:val="4EE61722"/>
    <w:rsid w:val="4EE86D63"/>
    <w:rsid w:val="4EEC3838"/>
    <w:rsid w:val="4EEE11A3"/>
    <w:rsid w:val="4EF07E6E"/>
    <w:rsid w:val="4EF558FA"/>
    <w:rsid w:val="4EFE4EC2"/>
    <w:rsid w:val="4EFF3444"/>
    <w:rsid w:val="4F037BFA"/>
    <w:rsid w:val="4F0441E5"/>
    <w:rsid w:val="4F155F27"/>
    <w:rsid w:val="4F181305"/>
    <w:rsid w:val="4F1A238F"/>
    <w:rsid w:val="4F2C365D"/>
    <w:rsid w:val="4F376D93"/>
    <w:rsid w:val="4F3D4163"/>
    <w:rsid w:val="4F50208E"/>
    <w:rsid w:val="4F6E6F86"/>
    <w:rsid w:val="4F7278C6"/>
    <w:rsid w:val="4F740C10"/>
    <w:rsid w:val="4F764CC2"/>
    <w:rsid w:val="4F7C7CD5"/>
    <w:rsid w:val="4F823D55"/>
    <w:rsid w:val="4F85034E"/>
    <w:rsid w:val="4F973AF4"/>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D2A03"/>
    <w:rsid w:val="51077269"/>
    <w:rsid w:val="510D4A1E"/>
    <w:rsid w:val="51121015"/>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8076F"/>
    <w:rsid w:val="5195533B"/>
    <w:rsid w:val="519645E3"/>
    <w:rsid w:val="5199124A"/>
    <w:rsid w:val="519D2F03"/>
    <w:rsid w:val="51AD6F40"/>
    <w:rsid w:val="51BE2EAE"/>
    <w:rsid w:val="51C0716E"/>
    <w:rsid w:val="51C24631"/>
    <w:rsid w:val="51D43598"/>
    <w:rsid w:val="51DA51E8"/>
    <w:rsid w:val="51DA5890"/>
    <w:rsid w:val="51DD11EF"/>
    <w:rsid w:val="51E90CD5"/>
    <w:rsid w:val="51EE7B3E"/>
    <w:rsid w:val="51F51BD1"/>
    <w:rsid w:val="51F96848"/>
    <w:rsid w:val="51FB40B5"/>
    <w:rsid w:val="52073487"/>
    <w:rsid w:val="520A7B89"/>
    <w:rsid w:val="520E648E"/>
    <w:rsid w:val="521C5D43"/>
    <w:rsid w:val="521D7ED7"/>
    <w:rsid w:val="5239194F"/>
    <w:rsid w:val="524A2F7E"/>
    <w:rsid w:val="52612620"/>
    <w:rsid w:val="526478E1"/>
    <w:rsid w:val="526A546C"/>
    <w:rsid w:val="526F3E5E"/>
    <w:rsid w:val="52790FD9"/>
    <w:rsid w:val="52887A7D"/>
    <w:rsid w:val="52894DE6"/>
    <w:rsid w:val="528C5E23"/>
    <w:rsid w:val="52993DA6"/>
    <w:rsid w:val="529B5EE8"/>
    <w:rsid w:val="529F0D9B"/>
    <w:rsid w:val="52BB795D"/>
    <w:rsid w:val="52CA3D8F"/>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B3642"/>
    <w:rsid w:val="533E0346"/>
    <w:rsid w:val="534246C3"/>
    <w:rsid w:val="53495ACD"/>
    <w:rsid w:val="535337EC"/>
    <w:rsid w:val="53556970"/>
    <w:rsid w:val="5366542B"/>
    <w:rsid w:val="536A3511"/>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4476"/>
    <w:rsid w:val="53E07B00"/>
    <w:rsid w:val="53E27BE1"/>
    <w:rsid w:val="53EC3D29"/>
    <w:rsid w:val="53F90D34"/>
    <w:rsid w:val="54002BFD"/>
    <w:rsid w:val="541942B6"/>
    <w:rsid w:val="542A3FEF"/>
    <w:rsid w:val="542A5504"/>
    <w:rsid w:val="542F7A60"/>
    <w:rsid w:val="54346136"/>
    <w:rsid w:val="544206A3"/>
    <w:rsid w:val="5452765B"/>
    <w:rsid w:val="54550067"/>
    <w:rsid w:val="54570DF5"/>
    <w:rsid w:val="54580F5A"/>
    <w:rsid w:val="54662360"/>
    <w:rsid w:val="54727EEF"/>
    <w:rsid w:val="5478695B"/>
    <w:rsid w:val="54860559"/>
    <w:rsid w:val="548810E8"/>
    <w:rsid w:val="54906088"/>
    <w:rsid w:val="54907EF0"/>
    <w:rsid w:val="549438A5"/>
    <w:rsid w:val="549C6534"/>
    <w:rsid w:val="54A14490"/>
    <w:rsid w:val="54A153FA"/>
    <w:rsid w:val="54AB29C5"/>
    <w:rsid w:val="54AB36A1"/>
    <w:rsid w:val="54B171C4"/>
    <w:rsid w:val="54B61DA8"/>
    <w:rsid w:val="54B62C99"/>
    <w:rsid w:val="54CC47C4"/>
    <w:rsid w:val="54DF688B"/>
    <w:rsid w:val="54E503E3"/>
    <w:rsid w:val="54E95643"/>
    <w:rsid w:val="550436A3"/>
    <w:rsid w:val="550E6C32"/>
    <w:rsid w:val="551C2E90"/>
    <w:rsid w:val="55405E18"/>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310AD"/>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1293F"/>
    <w:rsid w:val="560469FC"/>
    <w:rsid w:val="5609174E"/>
    <w:rsid w:val="56214A7B"/>
    <w:rsid w:val="562E1F90"/>
    <w:rsid w:val="56373380"/>
    <w:rsid w:val="563B616D"/>
    <w:rsid w:val="56436207"/>
    <w:rsid w:val="56456373"/>
    <w:rsid w:val="56580192"/>
    <w:rsid w:val="565B61BB"/>
    <w:rsid w:val="566510CB"/>
    <w:rsid w:val="567215D4"/>
    <w:rsid w:val="567A6CC0"/>
    <w:rsid w:val="567E4F7B"/>
    <w:rsid w:val="568679CF"/>
    <w:rsid w:val="568D0940"/>
    <w:rsid w:val="568F55E8"/>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17EFE"/>
    <w:rsid w:val="57292292"/>
    <w:rsid w:val="572E4793"/>
    <w:rsid w:val="572E7E52"/>
    <w:rsid w:val="573403E6"/>
    <w:rsid w:val="573459F0"/>
    <w:rsid w:val="573B3910"/>
    <w:rsid w:val="574460A0"/>
    <w:rsid w:val="57484376"/>
    <w:rsid w:val="574B4B12"/>
    <w:rsid w:val="575425F9"/>
    <w:rsid w:val="575A2017"/>
    <w:rsid w:val="575A4412"/>
    <w:rsid w:val="575C5FBB"/>
    <w:rsid w:val="57685F5D"/>
    <w:rsid w:val="57692A18"/>
    <w:rsid w:val="576D6DDF"/>
    <w:rsid w:val="57702374"/>
    <w:rsid w:val="57704138"/>
    <w:rsid w:val="57780ED4"/>
    <w:rsid w:val="577E3A90"/>
    <w:rsid w:val="5783620D"/>
    <w:rsid w:val="57886A0D"/>
    <w:rsid w:val="57896321"/>
    <w:rsid w:val="579A7C07"/>
    <w:rsid w:val="57A46FEE"/>
    <w:rsid w:val="57AF7168"/>
    <w:rsid w:val="57B02763"/>
    <w:rsid w:val="57B6547E"/>
    <w:rsid w:val="57BC7C9C"/>
    <w:rsid w:val="57BF6387"/>
    <w:rsid w:val="57CE152D"/>
    <w:rsid w:val="57D01AAC"/>
    <w:rsid w:val="57DA0D38"/>
    <w:rsid w:val="57DD4E33"/>
    <w:rsid w:val="57DE0A52"/>
    <w:rsid w:val="57DF6500"/>
    <w:rsid w:val="57E60B9B"/>
    <w:rsid w:val="57E73B61"/>
    <w:rsid w:val="57F01737"/>
    <w:rsid w:val="57F73696"/>
    <w:rsid w:val="57F84361"/>
    <w:rsid w:val="58005923"/>
    <w:rsid w:val="5803475B"/>
    <w:rsid w:val="580A6FBE"/>
    <w:rsid w:val="580F5BC1"/>
    <w:rsid w:val="58153B58"/>
    <w:rsid w:val="5822786C"/>
    <w:rsid w:val="58243371"/>
    <w:rsid w:val="58293CFC"/>
    <w:rsid w:val="58302962"/>
    <w:rsid w:val="5835010B"/>
    <w:rsid w:val="5846366F"/>
    <w:rsid w:val="584654C9"/>
    <w:rsid w:val="58470241"/>
    <w:rsid w:val="58484F55"/>
    <w:rsid w:val="585249D0"/>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77FBE"/>
    <w:rsid w:val="58A948C8"/>
    <w:rsid w:val="58B156C4"/>
    <w:rsid w:val="58B8443B"/>
    <w:rsid w:val="58B93814"/>
    <w:rsid w:val="58BC4002"/>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67466"/>
    <w:rsid w:val="59774D3E"/>
    <w:rsid w:val="599024D2"/>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5128C3"/>
    <w:rsid w:val="5A525A46"/>
    <w:rsid w:val="5A575C31"/>
    <w:rsid w:val="5A5C7772"/>
    <w:rsid w:val="5A6336A1"/>
    <w:rsid w:val="5A661C78"/>
    <w:rsid w:val="5A682C88"/>
    <w:rsid w:val="5A6B7C88"/>
    <w:rsid w:val="5A73612A"/>
    <w:rsid w:val="5A877288"/>
    <w:rsid w:val="5A8F76C1"/>
    <w:rsid w:val="5A921A04"/>
    <w:rsid w:val="5A9A0A66"/>
    <w:rsid w:val="5AA541CF"/>
    <w:rsid w:val="5AAF48E4"/>
    <w:rsid w:val="5AB37B27"/>
    <w:rsid w:val="5AB96041"/>
    <w:rsid w:val="5ABA46AD"/>
    <w:rsid w:val="5ABC4831"/>
    <w:rsid w:val="5ABC6BFA"/>
    <w:rsid w:val="5AC366EB"/>
    <w:rsid w:val="5AC43AE0"/>
    <w:rsid w:val="5AC4427C"/>
    <w:rsid w:val="5AD054B7"/>
    <w:rsid w:val="5AD149C0"/>
    <w:rsid w:val="5AD510F0"/>
    <w:rsid w:val="5AF55A9C"/>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159D8"/>
    <w:rsid w:val="5B532679"/>
    <w:rsid w:val="5B570BDE"/>
    <w:rsid w:val="5B5B64C5"/>
    <w:rsid w:val="5B6207A7"/>
    <w:rsid w:val="5B627DC7"/>
    <w:rsid w:val="5B6C5737"/>
    <w:rsid w:val="5B763263"/>
    <w:rsid w:val="5B821CF2"/>
    <w:rsid w:val="5B896F76"/>
    <w:rsid w:val="5B8F287C"/>
    <w:rsid w:val="5B975E5B"/>
    <w:rsid w:val="5B9C0984"/>
    <w:rsid w:val="5BA65080"/>
    <w:rsid w:val="5BA76A78"/>
    <w:rsid w:val="5BB214B7"/>
    <w:rsid w:val="5BB424C4"/>
    <w:rsid w:val="5BB576AD"/>
    <w:rsid w:val="5BBE6EBD"/>
    <w:rsid w:val="5BBF5D91"/>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25AD5"/>
    <w:rsid w:val="5C3B2DCF"/>
    <w:rsid w:val="5C4913AD"/>
    <w:rsid w:val="5C500AF8"/>
    <w:rsid w:val="5C517866"/>
    <w:rsid w:val="5C523483"/>
    <w:rsid w:val="5C5348B4"/>
    <w:rsid w:val="5C5E033F"/>
    <w:rsid w:val="5C663D77"/>
    <w:rsid w:val="5C6875EE"/>
    <w:rsid w:val="5C6F12DC"/>
    <w:rsid w:val="5C7A2919"/>
    <w:rsid w:val="5C8C7EA5"/>
    <w:rsid w:val="5CBF4297"/>
    <w:rsid w:val="5CC43404"/>
    <w:rsid w:val="5CC72BBC"/>
    <w:rsid w:val="5CC93DAE"/>
    <w:rsid w:val="5CD31EE3"/>
    <w:rsid w:val="5CE1654F"/>
    <w:rsid w:val="5CE47CF9"/>
    <w:rsid w:val="5CEB1D70"/>
    <w:rsid w:val="5CF45558"/>
    <w:rsid w:val="5CF70E19"/>
    <w:rsid w:val="5D00730C"/>
    <w:rsid w:val="5D072BC8"/>
    <w:rsid w:val="5D076525"/>
    <w:rsid w:val="5D0A3A75"/>
    <w:rsid w:val="5D19384D"/>
    <w:rsid w:val="5D22473A"/>
    <w:rsid w:val="5D2B5629"/>
    <w:rsid w:val="5D315CEB"/>
    <w:rsid w:val="5D326462"/>
    <w:rsid w:val="5D3926A3"/>
    <w:rsid w:val="5D3B59DF"/>
    <w:rsid w:val="5D473075"/>
    <w:rsid w:val="5D475E41"/>
    <w:rsid w:val="5D4822EE"/>
    <w:rsid w:val="5D5864DB"/>
    <w:rsid w:val="5D73393B"/>
    <w:rsid w:val="5D76353B"/>
    <w:rsid w:val="5D784379"/>
    <w:rsid w:val="5D7B3457"/>
    <w:rsid w:val="5D8B2715"/>
    <w:rsid w:val="5D8C5978"/>
    <w:rsid w:val="5D8D250E"/>
    <w:rsid w:val="5D8F399C"/>
    <w:rsid w:val="5D8F6111"/>
    <w:rsid w:val="5D915AFD"/>
    <w:rsid w:val="5D9404A9"/>
    <w:rsid w:val="5D9557B5"/>
    <w:rsid w:val="5D9A23F4"/>
    <w:rsid w:val="5D9F6617"/>
    <w:rsid w:val="5D9F7C74"/>
    <w:rsid w:val="5DAB2CF5"/>
    <w:rsid w:val="5DAE2E8C"/>
    <w:rsid w:val="5DAE7F34"/>
    <w:rsid w:val="5DB65502"/>
    <w:rsid w:val="5DCF2885"/>
    <w:rsid w:val="5DD70750"/>
    <w:rsid w:val="5DE44DF4"/>
    <w:rsid w:val="5DED4540"/>
    <w:rsid w:val="5E00720B"/>
    <w:rsid w:val="5E012896"/>
    <w:rsid w:val="5E0825B2"/>
    <w:rsid w:val="5E0A6049"/>
    <w:rsid w:val="5E156B70"/>
    <w:rsid w:val="5E1574AD"/>
    <w:rsid w:val="5E21165A"/>
    <w:rsid w:val="5E226508"/>
    <w:rsid w:val="5E2368B5"/>
    <w:rsid w:val="5E344390"/>
    <w:rsid w:val="5E352EB6"/>
    <w:rsid w:val="5E365B28"/>
    <w:rsid w:val="5E365E3C"/>
    <w:rsid w:val="5E400BF0"/>
    <w:rsid w:val="5E4250B0"/>
    <w:rsid w:val="5E4A3E88"/>
    <w:rsid w:val="5E4E539E"/>
    <w:rsid w:val="5E5F0687"/>
    <w:rsid w:val="5E6454D9"/>
    <w:rsid w:val="5E680BE8"/>
    <w:rsid w:val="5E6B7FF0"/>
    <w:rsid w:val="5E783202"/>
    <w:rsid w:val="5E7842EE"/>
    <w:rsid w:val="5E803D55"/>
    <w:rsid w:val="5E854DAE"/>
    <w:rsid w:val="5E9E372D"/>
    <w:rsid w:val="5EA36A9B"/>
    <w:rsid w:val="5EA648E2"/>
    <w:rsid w:val="5EB32415"/>
    <w:rsid w:val="5EB52E6F"/>
    <w:rsid w:val="5EC94A60"/>
    <w:rsid w:val="5ED20056"/>
    <w:rsid w:val="5ED95EEE"/>
    <w:rsid w:val="5EE55DDE"/>
    <w:rsid w:val="5EF04AC4"/>
    <w:rsid w:val="5EF47473"/>
    <w:rsid w:val="5EF51EEF"/>
    <w:rsid w:val="5EFE064F"/>
    <w:rsid w:val="5F061DE5"/>
    <w:rsid w:val="5F09081F"/>
    <w:rsid w:val="5F1111AD"/>
    <w:rsid w:val="5F121A0D"/>
    <w:rsid w:val="5F1B27DE"/>
    <w:rsid w:val="5F205DAE"/>
    <w:rsid w:val="5F2C64A1"/>
    <w:rsid w:val="5F39582E"/>
    <w:rsid w:val="5F405CF4"/>
    <w:rsid w:val="5F45602C"/>
    <w:rsid w:val="5F4632C4"/>
    <w:rsid w:val="5F482400"/>
    <w:rsid w:val="5F4A58A7"/>
    <w:rsid w:val="5F527FC9"/>
    <w:rsid w:val="5F531ECF"/>
    <w:rsid w:val="5F57147C"/>
    <w:rsid w:val="5F6015E2"/>
    <w:rsid w:val="5F6028D5"/>
    <w:rsid w:val="5F61415F"/>
    <w:rsid w:val="5F646936"/>
    <w:rsid w:val="5F6E7121"/>
    <w:rsid w:val="5F7202DD"/>
    <w:rsid w:val="5F7602E5"/>
    <w:rsid w:val="5F764A5E"/>
    <w:rsid w:val="5F765DFC"/>
    <w:rsid w:val="5F7D66DE"/>
    <w:rsid w:val="5F810033"/>
    <w:rsid w:val="5F844DC9"/>
    <w:rsid w:val="5F8806B8"/>
    <w:rsid w:val="5F8C52DB"/>
    <w:rsid w:val="5F966692"/>
    <w:rsid w:val="5F99467F"/>
    <w:rsid w:val="5FA00A10"/>
    <w:rsid w:val="5FA4374A"/>
    <w:rsid w:val="5FA4380A"/>
    <w:rsid w:val="5FA864E4"/>
    <w:rsid w:val="5FAB674F"/>
    <w:rsid w:val="5FB25387"/>
    <w:rsid w:val="5FC53509"/>
    <w:rsid w:val="5FD20829"/>
    <w:rsid w:val="5FEB0680"/>
    <w:rsid w:val="5FF35B11"/>
    <w:rsid w:val="5FF744A9"/>
    <w:rsid w:val="5FF76947"/>
    <w:rsid w:val="5FFB17C7"/>
    <w:rsid w:val="5FFE6C22"/>
    <w:rsid w:val="60000309"/>
    <w:rsid w:val="600B6B90"/>
    <w:rsid w:val="600C3224"/>
    <w:rsid w:val="600F6605"/>
    <w:rsid w:val="60143AD3"/>
    <w:rsid w:val="60281FCD"/>
    <w:rsid w:val="602876AC"/>
    <w:rsid w:val="603215F4"/>
    <w:rsid w:val="603771DA"/>
    <w:rsid w:val="604C5236"/>
    <w:rsid w:val="604C63FA"/>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661C2"/>
    <w:rsid w:val="60B77B1A"/>
    <w:rsid w:val="60BA0952"/>
    <w:rsid w:val="60C02A5F"/>
    <w:rsid w:val="60C5483E"/>
    <w:rsid w:val="60C566E2"/>
    <w:rsid w:val="60C867C5"/>
    <w:rsid w:val="60D3354A"/>
    <w:rsid w:val="60D4561F"/>
    <w:rsid w:val="60D67E78"/>
    <w:rsid w:val="60DB0800"/>
    <w:rsid w:val="60DE0DB6"/>
    <w:rsid w:val="60E25F60"/>
    <w:rsid w:val="60E54273"/>
    <w:rsid w:val="60F46839"/>
    <w:rsid w:val="61027740"/>
    <w:rsid w:val="61034098"/>
    <w:rsid w:val="61067A64"/>
    <w:rsid w:val="610B0BAE"/>
    <w:rsid w:val="610C7D1D"/>
    <w:rsid w:val="61105E47"/>
    <w:rsid w:val="6112529A"/>
    <w:rsid w:val="611A7B15"/>
    <w:rsid w:val="611C59F7"/>
    <w:rsid w:val="611F0B09"/>
    <w:rsid w:val="61200AAF"/>
    <w:rsid w:val="612D2321"/>
    <w:rsid w:val="612E7725"/>
    <w:rsid w:val="613F7544"/>
    <w:rsid w:val="61455CF4"/>
    <w:rsid w:val="61466898"/>
    <w:rsid w:val="61527CE8"/>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9D0513"/>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157E2"/>
    <w:rsid w:val="62220209"/>
    <w:rsid w:val="622E2CF4"/>
    <w:rsid w:val="622F5ABF"/>
    <w:rsid w:val="62393091"/>
    <w:rsid w:val="623D0C68"/>
    <w:rsid w:val="62460FCD"/>
    <w:rsid w:val="62480FF0"/>
    <w:rsid w:val="624B14C1"/>
    <w:rsid w:val="624F0394"/>
    <w:rsid w:val="625A29D8"/>
    <w:rsid w:val="625B2CDA"/>
    <w:rsid w:val="625B47C2"/>
    <w:rsid w:val="62630C6B"/>
    <w:rsid w:val="627301E8"/>
    <w:rsid w:val="6295194F"/>
    <w:rsid w:val="6299295E"/>
    <w:rsid w:val="629A07BC"/>
    <w:rsid w:val="62A33CA7"/>
    <w:rsid w:val="62AC2BCD"/>
    <w:rsid w:val="62B94634"/>
    <w:rsid w:val="62BA3B2B"/>
    <w:rsid w:val="62C37511"/>
    <w:rsid w:val="62D11C3F"/>
    <w:rsid w:val="62D67D61"/>
    <w:rsid w:val="62E157FC"/>
    <w:rsid w:val="62E54A06"/>
    <w:rsid w:val="62E81148"/>
    <w:rsid w:val="62E83A0D"/>
    <w:rsid w:val="62ED1945"/>
    <w:rsid w:val="62F76986"/>
    <w:rsid w:val="62FA3D7F"/>
    <w:rsid w:val="63074CE8"/>
    <w:rsid w:val="631360BB"/>
    <w:rsid w:val="631C3A36"/>
    <w:rsid w:val="63212420"/>
    <w:rsid w:val="632936A9"/>
    <w:rsid w:val="632F06D8"/>
    <w:rsid w:val="63310101"/>
    <w:rsid w:val="63311536"/>
    <w:rsid w:val="63317698"/>
    <w:rsid w:val="63340EAE"/>
    <w:rsid w:val="63443DC2"/>
    <w:rsid w:val="634B6A95"/>
    <w:rsid w:val="634F6CB9"/>
    <w:rsid w:val="635E6984"/>
    <w:rsid w:val="63607B9B"/>
    <w:rsid w:val="63615D3E"/>
    <w:rsid w:val="6367139B"/>
    <w:rsid w:val="63683422"/>
    <w:rsid w:val="636C62BA"/>
    <w:rsid w:val="63821D61"/>
    <w:rsid w:val="63827E36"/>
    <w:rsid w:val="63842477"/>
    <w:rsid w:val="638823F9"/>
    <w:rsid w:val="638B04D2"/>
    <w:rsid w:val="639A118D"/>
    <w:rsid w:val="63A85CD1"/>
    <w:rsid w:val="63AB2A39"/>
    <w:rsid w:val="63B02C42"/>
    <w:rsid w:val="63C51AD9"/>
    <w:rsid w:val="63C54411"/>
    <w:rsid w:val="63C733FE"/>
    <w:rsid w:val="63CD27C8"/>
    <w:rsid w:val="63CD4C2D"/>
    <w:rsid w:val="63CF2629"/>
    <w:rsid w:val="63D40E51"/>
    <w:rsid w:val="63D85FCA"/>
    <w:rsid w:val="63D92331"/>
    <w:rsid w:val="63E263F4"/>
    <w:rsid w:val="63E418C9"/>
    <w:rsid w:val="63E94E5A"/>
    <w:rsid w:val="63FB6EC6"/>
    <w:rsid w:val="63FD7654"/>
    <w:rsid w:val="640C2BB6"/>
    <w:rsid w:val="6411454E"/>
    <w:rsid w:val="643F3FFC"/>
    <w:rsid w:val="644A69BC"/>
    <w:rsid w:val="644D6FD8"/>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01C31"/>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465700"/>
    <w:rsid w:val="654C7E43"/>
    <w:rsid w:val="655754CB"/>
    <w:rsid w:val="655E2D72"/>
    <w:rsid w:val="656171FC"/>
    <w:rsid w:val="65635CAF"/>
    <w:rsid w:val="65636611"/>
    <w:rsid w:val="65693075"/>
    <w:rsid w:val="656F1A01"/>
    <w:rsid w:val="6570700F"/>
    <w:rsid w:val="657F0CE6"/>
    <w:rsid w:val="65833C4F"/>
    <w:rsid w:val="658B37B6"/>
    <w:rsid w:val="6590595E"/>
    <w:rsid w:val="65972789"/>
    <w:rsid w:val="6598681A"/>
    <w:rsid w:val="659C17EE"/>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63EED"/>
    <w:rsid w:val="667930F9"/>
    <w:rsid w:val="6679372B"/>
    <w:rsid w:val="667B3C56"/>
    <w:rsid w:val="66886429"/>
    <w:rsid w:val="66953491"/>
    <w:rsid w:val="66980BF6"/>
    <w:rsid w:val="66A56CDB"/>
    <w:rsid w:val="66AA30FE"/>
    <w:rsid w:val="66AD65FC"/>
    <w:rsid w:val="66B81454"/>
    <w:rsid w:val="66B86A33"/>
    <w:rsid w:val="66BE1292"/>
    <w:rsid w:val="66BF76F1"/>
    <w:rsid w:val="66D553C4"/>
    <w:rsid w:val="66D61A8D"/>
    <w:rsid w:val="66DA3497"/>
    <w:rsid w:val="66DC5BF8"/>
    <w:rsid w:val="66DE03BA"/>
    <w:rsid w:val="66E173F9"/>
    <w:rsid w:val="66E3226C"/>
    <w:rsid w:val="66E611A7"/>
    <w:rsid w:val="66E80EB0"/>
    <w:rsid w:val="66EC5E36"/>
    <w:rsid w:val="66F569E1"/>
    <w:rsid w:val="66F76034"/>
    <w:rsid w:val="67066C06"/>
    <w:rsid w:val="670E7B80"/>
    <w:rsid w:val="6713591F"/>
    <w:rsid w:val="67181932"/>
    <w:rsid w:val="6726232E"/>
    <w:rsid w:val="67292022"/>
    <w:rsid w:val="672A4901"/>
    <w:rsid w:val="67331724"/>
    <w:rsid w:val="673360E2"/>
    <w:rsid w:val="67346319"/>
    <w:rsid w:val="67441B08"/>
    <w:rsid w:val="674E2802"/>
    <w:rsid w:val="674F6E76"/>
    <w:rsid w:val="67513E69"/>
    <w:rsid w:val="675A17FE"/>
    <w:rsid w:val="67617AF0"/>
    <w:rsid w:val="67671D7D"/>
    <w:rsid w:val="6768655A"/>
    <w:rsid w:val="676E1585"/>
    <w:rsid w:val="67775952"/>
    <w:rsid w:val="677E2FA1"/>
    <w:rsid w:val="67834615"/>
    <w:rsid w:val="67836FB1"/>
    <w:rsid w:val="678764D7"/>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80965F8"/>
    <w:rsid w:val="680E4ECF"/>
    <w:rsid w:val="6811066C"/>
    <w:rsid w:val="68127886"/>
    <w:rsid w:val="68135F70"/>
    <w:rsid w:val="681778E7"/>
    <w:rsid w:val="68181338"/>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835F0"/>
    <w:rsid w:val="687E1768"/>
    <w:rsid w:val="68840103"/>
    <w:rsid w:val="689B3E14"/>
    <w:rsid w:val="689C5C1D"/>
    <w:rsid w:val="689D6F4C"/>
    <w:rsid w:val="689F2FA0"/>
    <w:rsid w:val="68A02CE9"/>
    <w:rsid w:val="68A036C8"/>
    <w:rsid w:val="68A41350"/>
    <w:rsid w:val="68AD26AA"/>
    <w:rsid w:val="68AE2B22"/>
    <w:rsid w:val="68BC14B0"/>
    <w:rsid w:val="68BC512A"/>
    <w:rsid w:val="68BF0078"/>
    <w:rsid w:val="68C20D16"/>
    <w:rsid w:val="68DA02E4"/>
    <w:rsid w:val="68DD619B"/>
    <w:rsid w:val="68EC3A15"/>
    <w:rsid w:val="68ED69A7"/>
    <w:rsid w:val="68F41507"/>
    <w:rsid w:val="68FD5593"/>
    <w:rsid w:val="69073414"/>
    <w:rsid w:val="690C4501"/>
    <w:rsid w:val="6911326A"/>
    <w:rsid w:val="69183F42"/>
    <w:rsid w:val="691B307E"/>
    <w:rsid w:val="691D4548"/>
    <w:rsid w:val="692B3BF3"/>
    <w:rsid w:val="692F1256"/>
    <w:rsid w:val="69301A1D"/>
    <w:rsid w:val="6934218F"/>
    <w:rsid w:val="69397C63"/>
    <w:rsid w:val="693C5AA5"/>
    <w:rsid w:val="693D00F1"/>
    <w:rsid w:val="693E13B7"/>
    <w:rsid w:val="69421566"/>
    <w:rsid w:val="69430240"/>
    <w:rsid w:val="694A6D5C"/>
    <w:rsid w:val="6951205B"/>
    <w:rsid w:val="6953741D"/>
    <w:rsid w:val="69552B47"/>
    <w:rsid w:val="6956014F"/>
    <w:rsid w:val="69667088"/>
    <w:rsid w:val="696F3842"/>
    <w:rsid w:val="69731101"/>
    <w:rsid w:val="6974083C"/>
    <w:rsid w:val="697D087B"/>
    <w:rsid w:val="69807B1E"/>
    <w:rsid w:val="699562F0"/>
    <w:rsid w:val="69A71B52"/>
    <w:rsid w:val="69A7770D"/>
    <w:rsid w:val="69A966F8"/>
    <w:rsid w:val="69AC0B64"/>
    <w:rsid w:val="69B27491"/>
    <w:rsid w:val="69B27C94"/>
    <w:rsid w:val="69BA2288"/>
    <w:rsid w:val="69BB7CE2"/>
    <w:rsid w:val="69C2365E"/>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47BB"/>
    <w:rsid w:val="6A2750C5"/>
    <w:rsid w:val="6A290AA5"/>
    <w:rsid w:val="6A2A46CE"/>
    <w:rsid w:val="6A2F521E"/>
    <w:rsid w:val="6A344359"/>
    <w:rsid w:val="6A3A1167"/>
    <w:rsid w:val="6A3D030C"/>
    <w:rsid w:val="6A3F4FDB"/>
    <w:rsid w:val="6A4F41B2"/>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B31D6"/>
    <w:rsid w:val="6AAD09E5"/>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D0481"/>
    <w:rsid w:val="6B0E002C"/>
    <w:rsid w:val="6B11682D"/>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44626"/>
    <w:rsid w:val="6BBB00B1"/>
    <w:rsid w:val="6BBD3E9D"/>
    <w:rsid w:val="6BC03721"/>
    <w:rsid w:val="6BC51A97"/>
    <w:rsid w:val="6BCC01D5"/>
    <w:rsid w:val="6BCF2DCA"/>
    <w:rsid w:val="6BD72624"/>
    <w:rsid w:val="6BDD0493"/>
    <w:rsid w:val="6BDE54AC"/>
    <w:rsid w:val="6BE068F6"/>
    <w:rsid w:val="6BE072B5"/>
    <w:rsid w:val="6BEC52EB"/>
    <w:rsid w:val="6BF229CE"/>
    <w:rsid w:val="6BF25C39"/>
    <w:rsid w:val="6BF45555"/>
    <w:rsid w:val="6C06150E"/>
    <w:rsid w:val="6C072806"/>
    <w:rsid w:val="6C140094"/>
    <w:rsid w:val="6C155F31"/>
    <w:rsid w:val="6C206E21"/>
    <w:rsid w:val="6C263A06"/>
    <w:rsid w:val="6C3A624E"/>
    <w:rsid w:val="6C3F4795"/>
    <w:rsid w:val="6C431738"/>
    <w:rsid w:val="6C505966"/>
    <w:rsid w:val="6C5D04BB"/>
    <w:rsid w:val="6C666C3C"/>
    <w:rsid w:val="6C6833E1"/>
    <w:rsid w:val="6C6D48B6"/>
    <w:rsid w:val="6C8035BD"/>
    <w:rsid w:val="6C8E4315"/>
    <w:rsid w:val="6C95615F"/>
    <w:rsid w:val="6CA9441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692F54"/>
    <w:rsid w:val="6D770FC8"/>
    <w:rsid w:val="6D7D5646"/>
    <w:rsid w:val="6D816186"/>
    <w:rsid w:val="6D90338E"/>
    <w:rsid w:val="6D925740"/>
    <w:rsid w:val="6D9D3EE4"/>
    <w:rsid w:val="6D9E7C69"/>
    <w:rsid w:val="6DA71839"/>
    <w:rsid w:val="6DA84071"/>
    <w:rsid w:val="6DB20233"/>
    <w:rsid w:val="6DB81D13"/>
    <w:rsid w:val="6DC54D30"/>
    <w:rsid w:val="6DC65806"/>
    <w:rsid w:val="6DDF0294"/>
    <w:rsid w:val="6DDF0A92"/>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224C4"/>
    <w:rsid w:val="6E633CB5"/>
    <w:rsid w:val="6E642A60"/>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F021829"/>
    <w:rsid w:val="6F08724A"/>
    <w:rsid w:val="6F14289F"/>
    <w:rsid w:val="6F162C84"/>
    <w:rsid w:val="6F28223D"/>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2E281A"/>
    <w:rsid w:val="70370653"/>
    <w:rsid w:val="70385F59"/>
    <w:rsid w:val="70387A8F"/>
    <w:rsid w:val="70494AF1"/>
    <w:rsid w:val="704A6916"/>
    <w:rsid w:val="70562B9B"/>
    <w:rsid w:val="70613B46"/>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842EC"/>
    <w:rsid w:val="70D91094"/>
    <w:rsid w:val="70DB76EF"/>
    <w:rsid w:val="70E47264"/>
    <w:rsid w:val="70F04773"/>
    <w:rsid w:val="710524E2"/>
    <w:rsid w:val="710B03C6"/>
    <w:rsid w:val="7110727C"/>
    <w:rsid w:val="711604AB"/>
    <w:rsid w:val="712762EB"/>
    <w:rsid w:val="712B6159"/>
    <w:rsid w:val="712D2ADB"/>
    <w:rsid w:val="712D4159"/>
    <w:rsid w:val="712D5738"/>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C70DF"/>
    <w:rsid w:val="72056436"/>
    <w:rsid w:val="720979A0"/>
    <w:rsid w:val="720F633E"/>
    <w:rsid w:val="72130B93"/>
    <w:rsid w:val="721C688B"/>
    <w:rsid w:val="72200AF0"/>
    <w:rsid w:val="72236626"/>
    <w:rsid w:val="722E7DFE"/>
    <w:rsid w:val="723749D7"/>
    <w:rsid w:val="7240738A"/>
    <w:rsid w:val="724E54F1"/>
    <w:rsid w:val="7254202A"/>
    <w:rsid w:val="72632A3F"/>
    <w:rsid w:val="727334E4"/>
    <w:rsid w:val="72756082"/>
    <w:rsid w:val="72772DDB"/>
    <w:rsid w:val="727B2E39"/>
    <w:rsid w:val="72827328"/>
    <w:rsid w:val="72851C47"/>
    <w:rsid w:val="728B2CA4"/>
    <w:rsid w:val="728B509F"/>
    <w:rsid w:val="728F0A31"/>
    <w:rsid w:val="729A297B"/>
    <w:rsid w:val="72A310CE"/>
    <w:rsid w:val="72A60BAC"/>
    <w:rsid w:val="72B23B41"/>
    <w:rsid w:val="72B5351F"/>
    <w:rsid w:val="72B554F8"/>
    <w:rsid w:val="72B751B8"/>
    <w:rsid w:val="72CE3184"/>
    <w:rsid w:val="72CE7D06"/>
    <w:rsid w:val="72CF40C2"/>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4548F"/>
    <w:rsid w:val="73B7366A"/>
    <w:rsid w:val="73BA064C"/>
    <w:rsid w:val="73BB3C6E"/>
    <w:rsid w:val="73CE1997"/>
    <w:rsid w:val="73D260A7"/>
    <w:rsid w:val="73D62143"/>
    <w:rsid w:val="73DB45F5"/>
    <w:rsid w:val="73DD3CB3"/>
    <w:rsid w:val="73DE1AB7"/>
    <w:rsid w:val="73E44595"/>
    <w:rsid w:val="73EC7C9D"/>
    <w:rsid w:val="73EE33F4"/>
    <w:rsid w:val="73EE6F0E"/>
    <w:rsid w:val="73F5257C"/>
    <w:rsid w:val="73F67B1C"/>
    <w:rsid w:val="73FF2CB2"/>
    <w:rsid w:val="7407051F"/>
    <w:rsid w:val="740D7326"/>
    <w:rsid w:val="740E71A7"/>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87284"/>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C6584"/>
    <w:rsid w:val="762D70E7"/>
    <w:rsid w:val="7630359D"/>
    <w:rsid w:val="763B42FB"/>
    <w:rsid w:val="763D4BE9"/>
    <w:rsid w:val="763F1F92"/>
    <w:rsid w:val="76424474"/>
    <w:rsid w:val="76437632"/>
    <w:rsid w:val="76451CD6"/>
    <w:rsid w:val="76452780"/>
    <w:rsid w:val="764F7670"/>
    <w:rsid w:val="76526C65"/>
    <w:rsid w:val="76587361"/>
    <w:rsid w:val="765C1B59"/>
    <w:rsid w:val="765F0FBA"/>
    <w:rsid w:val="766314AA"/>
    <w:rsid w:val="76674D6A"/>
    <w:rsid w:val="76690632"/>
    <w:rsid w:val="767469E2"/>
    <w:rsid w:val="76775F0B"/>
    <w:rsid w:val="767E2DAC"/>
    <w:rsid w:val="767F3C48"/>
    <w:rsid w:val="76834FD8"/>
    <w:rsid w:val="76894819"/>
    <w:rsid w:val="768D57E3"/>
    <w:rsid w:val="769310D2"/>
    <w:rsid w:val="76932317"/>
    <w:rsid w:val="76A53B61"/>
    <w:rsid w:val="76A56898"/>
    <w:rsid w:val="76A85DBC"/>
    <w:rsid w:val="76B153BA"/>
    <w:rsid w:val="76BE7B18"/>
    <w:rsid w:val="76C72CA0"/>
    <w:rsid w:val="76ED0EF4"/>
    <w:rsid w:val="76F2295F"/>
    <w:rsid w:val="76F50A9F"/>
    <w:rsid w:val="76FD2D1D"/>
    <w:rsid w:val="770F088C"/>
    <w:rsid w:val="77187F65"/>
    <w:rsid w:val="772646B7"/>
    <w:rsid w:val="77284F7D"/>
    <w:rsid w:val="7729766A"/>
    <w:rsid w:val="772C6525"/>
    <w:rsid w:val="772D35A6"/>
    <w:rsid w:val="772D3786"/>
    <w:rsid w:val="773A62B8"/>
    <w:rsid w:val="77422DC5"/>
    <w:rsid w:val="7743723B"/>
    <w:rsid w:val="77490C6C"/>
    <w:rsid w:val="774B3934"/>
    <w:rsid w:val="774D47BD"/>
    <w:rsid w:val="77551F00"/>
    <w:rsid w:val="77623E7A"/>
    <w:rsid w:val="77650E66"/>
    <w:rsid w:val="776A53C0"/>
    <w:rsid w:val="77721E49"/>
    <w:rsid w:val="777B5F51"/>
    <w:rsid w:val="777D53E6"/>
    <w:rsid w:val="777E1FE2"/>
    <w:rsid w:val="778067C2"/>
    <w:rsid w:val="77847A56"/>
    <w:rsid w:val="778F0D7D"/>
    <w:rsid w:val="778F49BD"/>
    <w:rsid w:val="77966F4C"/>
    <w:rsid w:val="779D7890"/>
    <w:rsid w:val="77A31525"/>
    <w:rsid w:val="77A74019"/>
    <w:rsid w:val="77A75021"/>
    <w:rsid w:val="77B4796D"/>
    <w:rsid w:val="77B8689C"/>
    <w:rsid w:val="77B92F7E"/>
    <w:rsid w:val="77BD5A24"/>
    <w:rsid w:val="77C2510C"/>
    <w:rsid w:val="77C833A2"/>
    <w:rsid w:val="77D21E05"/>
    <w:rsid w:val="77E568E3"/>
    <w:rsid w:val="77EE19D2"/>
    <w:rsid w:val="77F62779"/>
    <w:rsid w:val="78036043"/>
    <w:rsid w:val="78120646"/>
    <w:rsid w:val="7813374F"/>
    <w:rsid w:val="781838FF"/>
    <w:rsid w:val="781B3886"/>
    <w:rsid w:val="78306028"/>
    <w:rsid w:val="78316382"/>
    <w:rsid w:val="78355626"/>
    <w:rsid w:val="78375EBD"/>
    <w:rsid w:val="78410AF5"/>
    <w:rsid w:val="784151EC"/>
    <w:rsid w:val="78431FD5"/>
    <w:rsid w:val="784563AF"/>
    <w:rsid w:val="7849196F"/>
    <w:rsid w:val="78505CDF"/>
    <w:rsid w:val="78591903"/>
    <w:rsid w:val="787659AD"/>
    <w:rsid w:val="7888219B"/>
    <w:rsid w:val="78887070"/>
    <w:rsid w:val="788908C8"/>
    <w:rsid w:val="78993306"/>
    <w:rsid w:val="78A561F3"/>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704DF"/>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501475"/>
    <w:rsid w:val="79524043"/>
    <w:rsid w:val="795A5499"/>
    <w:rsid w:val="79651377"/>
    <w:rsid w:val="796E35F2"/>
    <w:rsid w:val="7971290E"/>
    <w:rsid w:val="79762768"/>
    <w:rsid w:val="79790DCC"/>
    <w:rsid w:val="797951A9"/>
    <w:rsid w:val="79852B10"/>
    <w:rsid w:val="7990174F"/>
    <w:rsid w:val="79A03D48"/>
    <w:rsid w:val="79A15149"/>
    <w:rsid w:val="79A37CCA"/>
    <w:rsid w:val="79A71C2E"/>
    <w:rsid w:val="79A74BCA"/>
    <w:rsid w:val="79AE39E9"/>
    <w:rsid w:val="79B57356"/>
    <w:rsid w:val="79B74D95"/>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32058"/>
    <w:rsid w:val="7ACA29DF"/>
    <w:rsid w:val="7ACD2D7F"/>
    <w:rsid w:val="7AD27B42"/>
    <w:rsid w:val="7AD53EC1"/>
    <w:rsid w:val="7AD84E14"/>
    <w:rsid w:val="7ADB474B"/>
    <w:rsid w:val="7ADB7F1A"/>
    <w:rsid w:val="7AE32935"/>
    <w:rsid w:val="7AE55787"/>
    <w:rsid w:val="7AF91DAF"/>
    <w:rsid w:val="7AF9607E"/>
    <w:rsid w:val="7B18546A"/>
    <w:rsid w:val="7B1B467F"/>
    <w:rsid w:val="7B1F59AA"/>
    <w:rsid w:val="7B214978"/>
    <w:rsid w:val="7B391012"/>
    <w:rsid w:val="7B4A5781"/>
    <w:rsid w:val="7B4E09BF"/>
    <w:rsid w:val="7B603C7C"/>
    <w:rsid w:val="7B65590F"/>
    <w:rsid w:val="7B6E2AB1"/>
    <w:rsid w:val="7B771CED"/>
    <w:rsid w:val="7B7B5719"/>
    <w:rsid w:val="7B7C1A5E"/>
    <w:rsid w:val="7B802195"/>
    <w:rsid w:val="7B841287"/>
    <w:rsid w:val="7B8F170E"/>
    <w:rsid w:val="7B9422CC"/>
    <w:rsid w:val="7BA22D26"/>
    <w:rsid w:val="7BA521BC"/>
    <w:rsid w:val="7BA63294"/>
    <w:rsid w:val="7BAA2B37"/>
    <w:rsid w:val="7BAB7079"/>
    <w:rsid w:val="7BB145C1"/>
    <w:rsid w:val="7BB2241E"/>
    <w:rsid w:val="7BB37F9E"/>
    <w:rsid w:val="7BC17EBE"/>
    <w:rsid w:val="7BC43666"/>
    <w:rsid w:val="7BC8293C"/>
    <w:rsid w:val="7BC87053"/>
    <w:rsid w:val="7BD13894"/>
    <w:rsid w:val="7BDC009C"/>
    <w:rsid w:val="7BDE0174"/>
    <w:rsid w:val="7BDF18E6"/>
    <w:rsid w:val="7BE131F6"/>
    <w:rsid w:val="7BF11348"/>
    <w:rsid w:val="7BF4701E"/>
    <w:rsid w:val="7BF542FE"/>
    <w:rsid w:val="7BFF0642"/>
    <w:rsid w:val="7C056E44"/>
    <w:rsid w:val="7C206952"/>
    <w:rsid w:val="7C2D1C60"/>
    <w:rsid w:val="7C3832F5"/>
    <w:rsid w:val="7C42281E"/>
    <w:rsid w:val="7C453975"/>
    <w:rsid w:val="7C4C3FDF"/>
    <w:rsid w:val="7C610C91"/>
    <w:rsid w:val="7C613AEC"/>
    <w:rsid w:val="7C6E7E2C"/>
    <w:rsid w:val="7C734075"/>
    <w:rsid w:val="7C773CA6"/>
    <w:rsid w:val="7C815D2A"/>
    <w:rsid w:val="7C831756"/>
    <w:rsid w:val="7C8C4CAB"/>
    <w:rsid w:val="7C982736"/>
    <w:rsid w:val="7C9A2FA3"/>
    <w:rsid w:val="7C9B7BAB"/>
    <w:rsid w:val="7C9E5A24"/>
    <w:rsid w:val="7CA3583F"/>
    <w:rsid w:val="7CA67728"/>
    <w:rsid w:val="7CB62523"/>
    <w:rsid w:val="7CB871CB"/>
    <w:rsid w:val="7CCA5583"/>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363E2B"/>
    <w:rsid w:val="7D401CAA"/>
    <w:rsid w:val="7D4E195B"/>
    <w:rsid w:val="7D515EFA"/>
    <w:rsid w:val="7D635C6D"/>
    <w:rsid w:val="7D64087E"/>
    <w:rsid w:val="7D69117D"/>
    <w:rsid w:val="7D696CB2"/>
    <w:rsid w:val="7D7836CA"/>
    <w:rsid w:val="7D7A555A"/>
    <w:rsid w:val="7D7F5298"/>
    <w:rsid w:val="7D8362BA"/>
    <w:rsid w:val="7D8B7B11"/>
    <w:rsid w:val="7DA843EE"/>
    <w:rsid w:val="7DAB10BD"/>
    <w:rsid w:val="7DB66641"/>
    <w:rsid w:val="7DBF2E7A"/>
    <w:rsid w:val="7DCC7A63"/>
    <w:rsid w:val="7DD7657D"/>
    <w:rsid w:val="7DDA6C39"/>
    <w:rsid w:val="7DE15552"/>
    <w:rsid w:val="7DE16744"/>
    <w:rsid w:val="7DE661CB"/>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6339F7"/>
    <w:rsid w:val="7F8660CD"/>
    <w:rsid w:val="7F8A2E2C"/>
    <w:rsid w:val="7F963419"/>
    <w:rsid w:val="7FA069EC"/>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table" w:customStyle="1" w:styleId="94">
    <w:name w:val="网格型1"/>
    <w:basedOn w:val="23"/>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
    <w:name w:val="网格型2"/>
    <w:basedOn w:val="23"/>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B2"/>
    <w:basedOn w:val="1"/>
    <w:qFormat/>
    <w:uiPriority w:val="0"/>
    <w:pPr>
      <w:ind w:left="851"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wmf"/><Relationship Id="rId7" Type="http://schemas.openxmlformats.org/officeDocument/2006/relationships/oleObject" Target="embeddings/oleObject1.bin"/><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3</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2022-11-07T13:34:58Z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